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72DC" w:rsidRDefault="002C72DC">
      <w:pPr>
        <w:ind w:firstLine="540"/>
        <w:jc w:val="center"/>
        <w:rPr>
          <w:rFonts w:ascii="黑体" w:eastAsia="黑体" w:hAnsi="黑体" w:hint="eastAsia"/>
          <w:sz w:val="36"/>
          <w:szCs w:val="36"/>
        </w:rPr>
      </w:pPr>
      <w:bookmarkStart w:id="0" w:name="_Toc407628908"/>
      <w:bookmarkStart w:id="1" w:name="_Toc407629727"/>
      <w:bookmarkStart w:id="2" w:name="_Toc407709849"/>
      <w:bookmarkStart w:id="3" w:name="_Toc408591271"/>
      <w:bookmarkStart w:id="4" w:name="_Toc408591374"/>
      <w:bookmarkStart w:id="5" w:name="_Toc409428106"/>
    </w:p>
    <w:p w:rsidR="002C72DC" w:rsidRDefault="002C72DC">
      <w:pPr>
        <w:ind w:firstLine="720"/>
        <w:jc w:val="center"/>
        <w:rPr>
          <w:sz w:val="48"/>
          <w:szCs w:val="48"/>
        </w:rPr>
      </w:pPr>
    </w:p>
    <w:p w:rsidR="002C72DC" w:rsidRDefault="002C72DC">
      <w:pPr>
        <w:ind w:firstLine="723"/>
        <w:jc w:val="center"/>
        <w:rPr>
          <w:b/>
          <w:sz w:val="48"/>
          <w:szCs w:val="48"/>
        </w:rPr>
      </w:pPr>
    </w:p>
    <w:p w:rsidR="002C72DC" w:rsidRPr="00B85FA7" w:rsidRDefault="008411D0" w:rsidP="00AB4833">
      <w:pPr>
        <w:ind w:firstLineChars="31" w:firstLine="149"/>
        <w:jc w:val="center"/>
        <w:rPr>
          <w:b/>
          <w:sz w:val="48"/>
          <w:szCs w:val="48"/>
        </w:rPr>
      </w:pPr>
      <w:r w:rsidRPr="00B85FA7">
        <w:rPr>
          <w:rFonts w:hint="eastAsia"/>
          <w:b/>
          <w:sz w:val="48"/>
          <w:szCs w:val="48"/>
        </w:rPr>
        <w:t>城市轨道沿线地区规划设计导则</w:t>
      </w:r>
    </w:p>
    <w:p w:rsidR="002C72DC" w:rsidRPr="00B85FA7" w:rsidRDefault="002C72DC">
      <w:pPr>
        <w:ind w:firstLine="540"/>
        <w:jc w:val="center"/>
        <w:rPr>
          <w:sz w:val="36"/>
          <w:szCs w:val="36"/>
        </w:rPr>
      </w:pPr>
    </w:p>
    <w:p w:rsidR="002C72DC" w:rsidRPr="00B85FA7" w:rsidRDefault="002C72DC">
      <w:pPr>
        <w:ind w:firstLine="540"/>
        <w:jc w:val="center"/>
        <w:rPr>
          <w:rFonts w:ascii="黑体" w:eastAsia="黑体" w:hAnsi="黑体"/>
          <w:sz w:val="36"/>
          <w:szCs w:val="36"/>
        </w:rPr>
      </w:pPr>
    </w:p>
    <w:p w:rsidR="002C72DC" w:rsidRPr="00B85FA7" w:rsidRDefault="002C72DC">
      <w:pPr>
        <w:ind w:firstLine="540"/>
        <w:jc w:val="center"/>
        <w:rPr>
          <w:rFonts w:ascii="黑体" w:eastAsia="黑体" w:hAnsi="黑体"/>
          <w:sz w:val="36"/>
          <w:szCs w:val="36"/>
        </w:rPr>
      </w:pPr>
    </w:p>
    <w:p w:rsidR="002C72DC" w:rsidRPr="00B85FA7" w:rsidRDefault="002C72DC">
      <w:pPr>
        <w:ind w:firstLine="540"/>
        <w:jc w:val="center"/>
        <w:rPr>
          <w:rFonts w:ascii="黑体" w:eastAsia="黑体" w:hAnsi="黑体"/>
          <w:sz w:val="36"/>
          <w:szCs w:val="36"/>
        </w:rPr>
      </w:pPr>
    </w:p>
    <w:p w:rsidR="002C72DC" w:rsidRPr="00B85FA7" w:rsidRDefault="002C72DC">
      <w:pPr>
        <w:ind w:firstLine="540"/>
        <w:jc w:val="center"/>
        <w:rPr>
          <w:rFonts w:ascii="黑体" w:eastAsia="黑体" w:hAnsi="黑体"/>
          <w:sz w:val="36"/>
          <w:szCs w:val="36"/>
        </w:rPr>
      </w:pPr>
    </w:p>
    <w:p w:rsidR="002C72DC" w:rsidRPr="00B85FA7" w:rsidRDefault="002C72DC">
      <w:pPr>
        <w:ind w:firstLine="540"/>
        <w:jc w:val="center"/>
        <w:rPr>
          <w:rFonts w:ascii="黑体" w:eastAsia="黑体" w:hAnsi="黑体"/>
          <w:sz w:val="36"/>
          <w:szCs w:val="36"/>
        </w:rPr>
      </w:pPr>
    </w:p>
    <w:p w:rsidR="002C72DC" w:rsidRPr="00B85FA7" w:rsidRDefault="002C72DC">
      <w:pPr>
        <w:ind w:firstLine="540"/>
        <w:jc w:val="center"/>
        <w:rPr>
          <w:rFonts w:ascii="黑体" w:eastAsia="黑体" w:hAnsi="黑体"/>
          <w:sz w:val="36"/>
          <w:szCs w:val="36"/>
        </w:rPr>
      </w:pPr>
    </w:p>
    <w:p w:rsidR="002C72DC" w:rsidRPr="00B85FA7" w:rsidRDefault="002C72DC">
      <w:pPr>
        <w:ind w:firstLine="542"/>
        <w:jc w:val="center"/>
        <w:rPr>
          <w:rFonts w:ascii="黑体" w:eastAsia="黑体" w:hAnsi="黑体"/>
          <w:b/>
          <w:sz w:val="36"/>
          <w:szCs w:val="36"/>
        </w:rPr>
      </w:pPr>
    </w:p>
    <w:p w:rsidR="002C72DC" w:rsidRPr="00B85FA7" w:rsidRDefault="008411D0" w:rsidP="00294309">
      <w:pPr>
        <w:spacing w:before="0" w:after="0" w:line="240" w:lineRule="auto"/>
        <w:ind w:firstLine="542"/>
        <w:jc w:val="center"/>
        <w:rPr>
          <w:rFonts w:ascii="仿宋" w:eastAsia="仿宋" w:hAnsi="仿宋"/>
          <w:b/>
          <w:sz w:val="36"/>
          <w:szCs w:val="36"/>
        </w:rPr>
      </w:pPr>
      <w:r w:rsidRPr="00B85FA7">
        <w:rPr>
          <w:rFonts w:ascii="仿宋" w:eastAsia="仿宋" w:hAnsi="仿宋" w:hint="eastAsia"/>
          <w:b/>
          <w:sz w:val="36"/>
          <w:szCs w:val="36"/>
        </w:rPr>
        <w:t>住房</w:t>
      </w:r>
      <w:r w:rsidR="0067439B">
        <w:rPr>
          <w:rFonts w:ascii="仿宋" w:eastAsia="仿宋" w:hAnsi="仿宋" w:hint="eastAsia"/>
          <w:b/>
          <w:sz w:val="36"/>
          <w:szCs w:val="36"/>
        </w:rPr>
        <w:t>和</w:t>
      </w:r>
      <w:r w:rsidRPr="00B85FA7">
        <w:rPr>
          <w:rFonts w:ascii="仿宋" w:eastAsia="仿宋" w:hAnsi="仿宋" w:hint="eastAsia"/>
          <w:b/>
          <w:sz w:val="36"/>
          <w:szCs w:val="36"/>
        </w:rPr>
        <w:t>城乡建设部</w:t>
      </w:r>
    </w:p>
    <w:p w:rsidR="002C72DC" w:rsidRPr="00B85FA7" w:rsidRDefault="008411D0" w:rsidP="00294309">
      <w:pPr>
        <w:spacing w:before="0" w:after="0" w:line="240" w:lineRule="auto"/>
        <w:ind w:firstLine="482"/>
        <w:jc w:val="center"/>
        <w:rPr>
          <w:rFonts w:ascii="仿宋" w:eastAsia="仿宋" w:hAnsi="仿宋"/>
          <w:b/>
          <w:sz w:val="32"/>
          <w:szCs w:val="32"/>
        </w:rPr>
        <w:sectPr w:rsidR="002C72DC" w:rsidRPr="00B85FA7">
          <w:headerReference w:type="even" r:id="rId10"/>
          <w:headerReference w:type="default" r:id="rId11"/>
          <w:footerReference w:type="even" r:id="rId12"/>
          <w:footerReference w:type="default" r:id="rId13"/>
          <w:headerReference w:type="first" r:id="rId14"/>
          <w:footerReference w:type="first" r:id="rId15"/>
          <w:pgSz w:w="11906" w:h="16838"/>
          <w:pgMar w:top="1440" w:right="1800" w:bottom="1440" w:left="1843" w:header="851" w:footer="992" w:gutter="0"/>
          <w:pgNumType w:fmt="upperRoman"/>
          <w:cols w:space="720"/>
          <w:docGrid w:type="lines" w:linePitch="312"/>
        </w:sectPr>
      </w:pPr>
      <w:r w:rsidRPr="00B85FA7">
        <w:rPr>
          <w:rFonts w:ascii="仿宋" w:eastAsia="仿宋" w:hAnsi="仿宋"/>
          <w:b/>
          <w:sz w:val="32"/>
          <w:szCs w:val="32"/>
        </w:rPr>
        <w:t xml:space="preserve">2015 </w:t>
      </w:r>
      <w:r w:rsidRPr="00B85FA7">
        <w:rPr>
          <w:rFonts w:ascii="仿宋" w:eastAsia="仿宋" w:hAnsi="仿宋" w:hint="eastAsia"/>
          <w:b/>
          <w:sz w:val="32"/>
          <w:szCs w:val="32"/>
        </w:rPr>
        <w:t xml:space="preserve">年 </w:t>
      </w:r>
      <w:r w:rsidR="00693C2A">
        <w:rPr>
          <w:rFonts w:ascii="仿宋" w:eastAsia="仿宋" w:hAnsi="仿宋"/>
          <w:b/>
          <w:sz w:val="32"/>
          <w:szCs w:val="32"/>
        </w:rPr>
        <w:t>11</w:t>
      </w:r>
      <w:r w:rsidRPr="00B85FA7">
        <w:rPr>
          <w:rFonts w:ascii="仿宋" w:eastAsia="仿宋" w:hAnsi="仿宋" w:hint="eastAsia"/>
          <w:b/>
          <w:sz w:val="32"/>
          <w:szCs w:val="32"/>
        </w:rPr>
        <w:t>月</w:t>
      </w:r>
    </w:p>
    <w:p w:rsidR="002C72DC" w:rsidRPr="00B85FA7" w:rsidRDefault="008411D0">
      <w:pPr>
        <w:pStyle w:val="1"/>
        <w:numPr>
          <w:ilvl w:val="0"/>
          <w:numId w:val="0"/>
        </w:numPr>
      </w:pPr>
      <w:bookmarkStart w:id="6" w:name="_Toc410310251"/>
      <w:bookmarkStart w:id="7" w:name="_Toc435545770"/>
      <w:r w:rsidRPr="00B85FA7">
        <w:rPr>
          <w:rFonts w:hint="eastAsia"/>
        </w:rPr>
        <w:lastRenderedPageBreak/>
        <w:t>目录</w:t>
      </w:r>
      <w:bookmarkEnd w:id="0"/>
      <w:bookmarkEnd w:id="1"/>
      <w:bookmarkEnd w:id="2"/>
      <w:bookmarkEnd w:id="3"/>
      <w:bookmarkEnd w:id="4"/>
      <w:bookmarkEnd w:id="5"/>
      <w:bookmarkEnd w:id="6"/>
      <w:bookmarkEnd w:id="7"/>
    </w:p>
    <w:p w:rsidR="004C540E" w:rsidRDefault="00835B64">
      <w:pPr>
        <w:pStyle w:val="12"/>
        <w:tabs>
          <w:tab w:val="right" w:leader="dot" w:pos="8253"/>
        </w:tabs>
        <w:rPr>
          <w:rFonts w:asciiTheme="minorHAnsi" w:eastAsiaTheme="minorEastAsia" w:hAnsiTheme="minorHAnsi" w:cstheme="minorBidi"/>
          <w:bCs w:val="0"/>
          <w:iCs w:val="0"/>
          <w:noProof/>
          <w:sz w:val="21"/>
          <w:szCs w:val="22"/>
        </w:rPr>
      </w:pPr>
      <w:r w:rsidRPr="00B85FA7">
        <w:rPr>
          <w:rFonts w:ascii="宋体" w:hAnsi="宋体" w:cs="Times New Roman"/>
          <w:sz w:val="36"/>
          <w:szCs w:val="36"/>
        </w:rPr>
        <w:fldChar w:fldCharType="begin"/>
      </w:r>
      <w:r w:rsidR="008411D0" w:rsidRPr="00B85FA7">
        <w:rPr>
          <w:rFonts w:ascii="宋体" w:hAnsi="宋体" w:cs="Times New Roman"/>
          <w:sz w:val="36"/>
          <w:szCs w:val="36"/>
        </w:rPr>
        <w:instrText xml:space="preserve"> TOC \o "1-2" \h \z \u </w:instrText>
      </w:r>
      <w:r w:rsidRPr="00B85FA7">
        <w:rPr>
          <w:rFonts w:ascii="宋体" w:hAnsi="宋体" w:cs="Times New Roman"/>
          <w:sz w:val="36"/>
          <w:szCs w:val="36"/>
        </w:rPr>
        <w:fldChar w:fldCharType="separate"/>
      </w:r>
      <w:hyperlink w:anchor="_Toc435545770" w:history="1">
        <w:r w:rsidR="004C540E" w:rsidRPr="00B50388">
          <w:rPr>
            <w:rStyle w:val="af"/>
            <w:rFonts w:hint="eastAsia"/>
            <w:noProof/>
          </w:rPr>
          <w:t>目录</w:t>
        </w:r>
        <w:r w:rsidR="004C540E">
          <w:rPr>
            <w:noProof/>
            <w:webHidden/>
          </w:rPr>
          <w:tab/>
        </w:r>
        <w:r w:rsidR="004C540E">
          <w:rPr>
            <w:noProof/>
            <w:webHidden/>
          </w:rPr>
          <w:fldChar w:fldCharType="begin"/>
        </w:r>
        <w:r w:rsidR="004C540E">
          <w:rPr>
            <w:noProof/>
            <w:webHidden/>
          </w:rPr>
          <w:instrText xml:space="preserve"> PAGEREF _Toc435545770 \h </w:instrText>
        </w:r>
        <w:r w:rsidR="004C540E">
          <w:rPr>
            <w:noProof/>
            <w:webHidden/>
          </w:rPr>
        </w:r>
        <w:r w:rsidR="004C540E">
          <w:rPr>
            <w:noProof/>
            <w:webHidden/>
          </w:rPr>
          <w:fldChar w:fldCharType="separate"/>
        </w:r>
        <w:r w:rsidR="001364D6">
          <w:rPr>
            <w:noProof/>
            <w:webHidden/>
          </w:rPr>
          <w:t>I</w:t>
        </w:r>
        <w:r w:rsidR="004C540E">
          <w:rPr>
            <w:noProof/>
            <w:webHidden/>
          </w:rPr>
          <w:fldChar w:fldCharType="end"/>
        </w:r>
      </w:hyperlink>
    </w:p>
    <w:p w:rsidR="004C540E" w:rsidRDefault="000B5260">
      <w:pPr>
        <w:pStyle w:val="12"/>
        <w:tabs>
          <w:tab w:val="right" w:leader="dot" w:pos="8253"/>
        </w:tabs>
        <w:rPr>
          <w:rFonts w:asciiTheme="minorHAnsi" w:eastAsiaTheme="minorEastAsia" w:hAnsiTheme="minorHAnsi" w:cstheme="minorBidi"/>
          <w:bCs w:val="0"/>
          <w:iCs w:val="0"/>
          <w:noProof/>
          <w:sz w:val="21"/>
          <w:szCs w:val="22"/>
        </w:rPr>
      </w:pPr>
      <w:hyperlink w:anchor="_Toc435545771" w:history="1">
        <w:r w:rsidR="004C540E" w:rsidRPr="00B50388">
          <w:rPr>
            <w:rStyle w:val="af"/>
            <w:rFonts w:ascii="宋体" w:hAnsi="宋体" w:hint="eastAsia"/>
            <w:noProof/>
          </w:rPr>
          <w:t>前</w:t>
        </w:r>
        <w:r w:rsidR="004C540E" w:rsidRPr="00B50388">
          <w:rPr>
            <w:rStyle w:val="af"/>
            <w:rFonts w:ascii="宋体" w:hAnsi="宋体"/>
            <w:noProof/>
          </w:rPr>
          <w:t xml:space="preserve"> </w:t>
        </w:r>
        <w:r w:rsidR="004C540E" w:rsidRPr="00B50388">
          <w:rPr>
            <w:rStyle w:val="af"/>
            <w:rFonts w:ascii="宋体" w:hAnsi="宋体" w:hint="eastAsia"/>
            <w:noProof/>
          </w:rPr>
          <w:t>言</w:t>
        </w:r>
        <w:r w:rsidR="004C540E">
          <w:rPr>
            <w:noProof/>
            <w:webHidden/>
          </w:rPr>
          <w:tab/>
        </w:r>
        <w:r w:rsidR="004C540E">
          <w:rPr>
            <w:noProof/>
            <w:webHidden/>
          </w:rPr>
          <w:fldChar w:fldCharType="begin"/>
        </w:r>
        <w:r w:rsidR="004C540E">
          <w:rPr>
            <w:noProof/>
            <w:webHidden/>
          </w:rPr>
          <w:instrText xml:space="preserve"> PAGEREF _Toc435545771 \h </w:instrText>
        </w:r>
        <w:r w:rsidR="004C540E">
          <w:rPr>
            <w:noProof/>
            <w:webHidden/>
          </w:rPr>
        </w:r>
        <w:r w:rsidR="004C540E">
          <w:rPr>
            <w:noProof/>
            <w:webHidden/>
          </w:rPr>
          <w:fldChar w:fldCharType="separate"/>
        </w:r>
        <w:r w:rsidR="001364D6">
          <w:rPr>
            <w:noProof/>
            <w:webHidden/>
          </w:rPr>
          <w:t>1</w:t>
        </w:r>
        <w:r w:rsidR="004C540E">
          <w:rPr>
            <w:noProof/>
            <w:webHidden/>
          </w:rPr>
          <w:fldChar w:fldCharType="end"/>
        </w:r>
      </w:hyperlink>
    </w:p>
    <w:p w:rsidR="004C540E" w:rsidRDefault="000B5260">
      <w:pPr>
        <w:pStyle w:val="12"/>
        <w:tabs>
          <w:tab w:val="left" w:pos="560"/>
          <w:tab w:val="right" w:leader="dot" w:pos="8253"/>
        </w:tabs>
        <w:rPr>
          <w:rFonts w:asciiTheme="minorHAnsi" w:eastAsiaTheme="minorEastAsia" w:hAnsiTheme="minorHAnsi" w:cstheme="minorBidi"/>
          <w:bCs w:val="0"/>
          <w:iCs w:val="0"/>
          <w:noProof/>
          <w:sz w:val="21"/>
          <w:szCs w:val="22"/>
        </w:rPr>
      </w:pPr>
      <w:hyperlink w:anchor="_Toc435545772" w:history="1">
        <w:r w:rsidR="004C540E" w:rsidRPr="00B50388">
          <w:rPr>
            <w:rStyle w:val="af"/>
            <w:rFonts w:ascii="宋体" w:hAnsi="宋体"/>
            <w:noProof/>
          </w:rPr>
          <w:t>1</w:t>
        </w:r>
        <w:r w:rsidR="004C540E">
          <w:rPr>
            <w:rFonts w:asciiTheme="minorHAnsi" w:eastAsiaTheme="minorEastAsia" w:hAnsiTheme="minorHAnsi" w:cstheme="minorBidi"/>
            <w:bCs w:val="0"/>
            <w:iCs w:val="0"/>
            <w:noProof/>
            <w:sz w:val="21"/>
            <w:szCs w:val="22"/>
          </w:rPr>
          <w:tab/>
        </w:r>
        <w:r w:rsidR="004C540E" w:rsidRPr="00B50388">
          <w:rPr>
            <w:rStyle w:val="af"/>
            <w:rFonts w:hint="eastAsia"/>
            <w:noProof/>
          </w:rPr>
          <w:t>总则</w:t>
        </w:r>
        <w:r w:rsidR="004C540E">
          <w:rPr>
            <w:noProof/>
            <w:webHidden/>
          </w:rPr>
          <w:tab/>
        </w:r>
        <w:r w:rsidR="004C540E">
          <w:rPr>
            <w:noProof/>
            <w:webHidden/>
          </w:rPr>
          <w:fldChar w:fldCharType="begin"/>
        </w:r>
        <w:r w:rsidR="004C540E">
          <w:rPr>
            <w:noProof/>
            <w:webHidden/>
          </w:rPr>
          <w:instrText xml:space="preserve"> PAGEREF _Toc435545772 \h </w:instrText>
        </w:r>
        <w:r w:rsidR="004C540E">
          <w:rPr>
            <w:noProof/>
            <w:webHidden/>
          </w:rPr>
        </w:r>
        <w:r w:rsidR="004C540E">
          <w:rPr>
            <w:noProof/>
            <w:webHidden/>
          </w:rPr>
          <w:fldChar w:fldCharType="separate"/>
        </w:r>
        <w:r w:rsidR="001364D6">
          <w:rPr>
            <w:noProof/>
            <w:webHidden/>
          </w:rPr>
          <w:t>2</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73" w:history="1">
        <w:r w:rsidR="004C540E" w:rsidRPr="00B50388">
          <w:rPr>
            <w:rStyle w:val="af"/>
            <w:noProof/>
          </w:rPr>
          <w:t>1.1</w:t>
        </w:r>
        <w:r w:rsidR="004C540E" w:rsidRPr="00B50388">
          <w:rPr>
            <w:rStyle w:val="af"/>
            <w:rFonts w:hint="eastAsia"/>
            <w:noProof/>
          </w:rPr>
          <w:t xml:space="preserve"> </w:t>
        </w:r>
        <w:r w:rsidR="004C540E" w:rsidRPr="00B50388">
          <w:rPr>
            <w:rStyle w:val="af"/>
            <w:rFonts w:hint="eastAsia"/>
            <w:noProof/>
          </w:rPr>
          <w:t>编写目的</w:t>
        </w:r>
        <w:r w:rsidR="004C540E">
          <w:rPr>
            <w:noProof/>
            <w:webHidden/>
          </w:rPr>
          <w:tab/>
        </w:r>
        <w:r w:rsidR="004C540E">
          <w:rPr>
            <w:noProof/>
            <w:webHidden/>
          </w:rPr>
          <w:fldChar w:fldCharType="begin"/>
        </w:r>
        <w:r w:rsidR="004C540E">
          <w:rPr>
            <w:noProof/>
            <w:webHidden/>
          </w:rPr>
          <w:instrText xml:space="preserve"> PAGEREF _Toc435545773 \h </w:instrText>
        </w:r>
        <w:r w:rsidR="004C540E">
          <w:rPr>
            <w:noProof/>
            <w:webHidden/>
          </w:rPr>
        </w:r>
        <w:r w:rsidR="004C540E">
          <w:rPr>
            <w:noProof/>
            <w:webHidden/>
          </w:rPr>
          <w:fldChar w:fldCharType="separate"/>
        </w:r>
        <w:r w:rsidR="001364D6">
          <w:rPr>
            <w:noProof/>
            <w:webHidden/>
          </w:rPr>
          <w:t>2</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74" w:history="1">
        <w:r w:rsidR="004C540E" w:rsidRPr="00B50388">
          <w:rPr>
            <w:rStyle w:val="af"/>
            <w:noProof/>
          </w:rPr>
          <w:t>1.2</w:t>
        </w:r>
        <w:r w:rsidR="004C540E" w:rsidRPr="00B50388">
          <w:rPr>
            <w:rStyle w:val="af"/>
            <w:rFonts w:hint="eastAsia"/>
            <w:noProof/>
          </w:rPr>
          <w:t xml:space="preserve"> </w:t>
        </w:r>
        <w:r w:rsidR="004C540E" w:rsidRPr="00B50388">
          <w:rPr>
            <w:rStyle w:val="af"/>
            <w:rFonts w:hint="eastAsia"/>
            <w:noProof/>
          </w:rPr>
          <w:t>层次划分</w:t>
        </w:r>
        <w:r w:rsidR="004C540E">
          <w:rPr>
            <w:noProof/>
            <w:webHidden/>
          </w:rPr>
          <w:tab/>
        </w:r>
        <w:r w:rsidR="004C540E">
          <w:rPr>
            <w:noProof/>
            <w:webHidden/>
          </w:rPr>
          <w:fldChar w:fldCharType="begin"/>
        </w:r>
        <w:r w:rsidR="004C540E">
          <w:rPr>
            <w:noProof/>
            <w:webHidden/>
          </w:rPr>
          <w:instrText xml:space="preserve"> PAGEREF _Toc435545774 \h </w:instrText>
        </w:r>
        <w:r w:rsidR="004C540E">
          <w:rPr>
            <w:noProof/>
            <w:webHidden/>
          </w:rPr>
        </w:r>
        <w:r w:rsidR="004C540E">
          <w:rPr>
            <w:noProof/>
            <w:webHidden/>
          </w:rPr>
          <w:fldChar w:fldCharType="separate"/>
        </w:r>
        <w:r w:rsidR="001364D6">
          <w:rPr>
            <w:noProof/>
            <w:webHidden/>
          </w:rPr>
          <w:t>2</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75" w:history="1">
        <w:r w:rsidR="004C540E" w:rsidRPr="00B50388">
          <w:rPr>
            <w:rStyle w:val="af"/>
            <w:noProof/>
          </w:rPr>
          <w:t>1.3</w:t>
        </w:r>
        <w:r w:rsidR="004C540E" w:rsidRPr="00B50388">
          <w:rPr>
            <w:rStyle w:val="af"/>
            <w:rFonts w:hint="eastAsia"/>
            <w:noProof/>
          </w:rPr>
          <w:t xml:space="preserve"> </w:t>
        </w:r>
        <w:r w:rsidR="004C540E" w:rsidRPr="00B50388">
          <w:rPr>
            <w:rStyle w:val="af"/>
            <w:rFonts w:hint="eastAsia"/>
            <w:noProof/>
          </w:rPr>
          <w:t>适用范围</w:t>
        </w:r>
        <w:r w:rsidR="004C540E">
          <w:rPr>
            <w:noProof/>
            <w:webHidden/>
          </w:rPr>
          <w:tab/>
        </w:r>
        <w:r w:rsidR="004C540E">
          <w:rPr>
            <w:noProof/>
            <w:webHidden/>
          </w:rPr>
          <w:fldChar w:fldCharType="begin"/>
        </w:r>
        <w:r w:rsidR="004C540E">
          <w:rPr>
            <w:noProof/>
            <w:webHidden/>
          </w:rPr>
          <w:instrText xml:space="preserve"> PAGEREF _Toc435545775 \h </w:instrText>
        </w:r>
        <w:r w:rsidR="004C540E">
          <w:rPr>
            <w:noProof/>
            <w:webHidden/>
          </w:rPr>
        </w:r>
        <w:r w:rsidR="004C540E">
          <w:rPr>
            <w:noProof/>
            <w:webHidden/>
          </w:rPr>
          <w:fldChar w:fldCharType="separate"/>
        </w:r>
        <w:r w:rsidR="001364D6">
          <w:rPr>
            <w:noProof/>
            <w:webHidden/>
          </w:rPr>
          <w:t>2</w:t>
        </w:r>
        <w:r w:rsidR="004C540E">
          <w:rPr>
            <w:noProof/>
            <w:webHidden/>
          </w:rPr>
          <w:fldChar w:fldCharType="end"/>
        </w:r>
      </w:hyperlink>
    </w:p>
    <w:p w:rsidR="004C540E" w:rsidRDefault="000B5260">
      <w:pPr>
        <w:pStyle w:val="12"/>
        <w:tabs>
          <w:tab w:val="left" w:pos="560"/>
          <w:tab w:val="right" w:leader="dot" w:pos="8253"/>
        </w:tabs>
        <w:rPr>
          <w:rFonts w:asciiTheme="minorHAnsi" w:eastAsiaTheme="minorEastAsia" w:hAnsiTheme="minorHAnsi" w:cstheme="minorBidi"/>
          <w:bCs w:val="0"/>
          <w:iCs w:val="0"/>
          <w:noProof/>
          <w:sz w:val="21"/>
          <w:szCs w:val="22"/>
        </w:rPr>
      </w:pPr>
      <w:hyperlink w:anchor="_Toc435545776" w:history="1">
        <w:r w:rsidR="004C540E" w:rsidRPr="00B50388">
          <w:rPr>
            <w:rStyle w:val="af"/>
            <w:rFonts w:ascii="宋体" w:hAnsi="宋体"/>
            <w:noProof/>
          </w:rPr>
          <w:t>2</w:t>
        </w:r>
        <w:r w:rsidR="004C540E">
          <w:rPr>
            <w:rFonts w:asciiTheme="minorHAnsi" w:eastAsiaTheme="minorEastAsia" w:hAnsiTheme="minorHAnsi" w:cstheme="minorBidi"/>
            <w:bCs w:val="0"/>
            <w:iCs w:val="0"/>
            <w:noProof/>
            <w:sz w:val="21"/>
            <w:szCs w:val="22"/>
          </w:rPr>
          <w:tab/>
        </w:r>
        <w:r w:rsidR="004C540E" w:rsidRPr="00B50388">
          <w:rPr>
            <w:rStyle w:val="af"/>
            <w:rFonts w:hint="eastAsia"/>
            <w:noProof/>
          </w:rPr>
          <w:t>术语和定义</w:t>
        </w:r>
        <w:r w:rsidR="004C540E">
          <w:rPr>
            <w:noProof/>
            <w:webHidden/>
          </w:rPr>
          <w:tab/>
        </w:r>
        <w:r w:rsidR="004C540E">
          <w:rPr>
            <w:noProof/>
            <w:webHidden/>
          </w:rPr>
          <w:fldChar w:fldCharType="begin"/>
        </w:r>
        <w:r w:rsidR="004C540E">
          <w:rPr>
            <w:noProof/>
            <w:webHidden/>
          </w:rPr>
          <w:instrText xml:space="preserve"> PAGEREF _Toc435545776 \h </w:instrText>
        </w:r>
        <w:r w:rsidR="004C540E">
          <w:rPr>
            <w:noProof/>
            <w:webHidden/>
          </w:rPr>
        </w:r>
        <w:r w:rsidR="004C540E">
          <w:rPr>
            <w:noProof/>
            <w:webHidden/>
          </w:rPr>
          <w:fldChar w:fldCharType="separate"/>
        </w:r>
        <w:r w:rsidR="001364D6">
          <w:rPr>
            <w:noProof/>
            <w:webHidden/>
          </w:rPr>
          <w:t>3</w:t>
        </w:r>
        <w:r w:rsidR="004C540E">
          <w:rPr>
            <w:noProof/>
            <w:webHidden/>
          </w:rPr>
          <w:fldChar w:fldCharType="end"/>
        </w:r>
      </w:hyperlink>
    </w:p>
    <w:p w:rsidR="004C540E" w:rsidRDefault="000B5260">
      <w:pPr>
        <w:pStyle w:val="12"/>
        <w:tabs>
          <w:tab w:val="left" w:pos="560"/>
          <w:tab w:val="right" w:leader="dot" w:pos="8253"/>
        </w:tabs>
        <w:rPr>
          <w:rFonts w:asciiTheme="minorHAnsi" w:eastAsiaTheme="minorEastAsia" w:hAnsiTheme="minorHAnsi" w:cstheme="minorBidi"/>
          <w:bCs w:val="0"/>
          <w:iCs w:val="0"/>
          <w:noProof/>
          <w:sz w:val="21"/>
          <w:szCs w:val="22"/>
        </w:rPr>
      </w:pPr>
      <w:hyperlink w:anchor="_Toc435545777" w:history="1">
        <w:r w:rsidR="004C540E" w:rsidRPr="00B50388">
          <w:rPr>
            <w:rStyle w:val="af"/>
            <w:rFonts w:ascii="宋体" w:hAnsi="宋体"/>
            <w:noProof/>
          </w:rPr>
          <w:t>3</w:t>
        </w:r>
        <w:r w:rsidR="004C540E">
          <w:rPr>
            <w:rFonts w:asciiTheme="minorHAnsi" w:eastAsiaTheme="minorEastAsia" w:hAnsiTheme="minorHAnsi" w:cstheme="minorBidi"/>
            <w:bCs w:val="0"/>
            <w:iCs w:val="0"/>
            <w:noProof/>
            <w:sz w:val="21"/>
            <w:szCs w:val="22"/>
          </w:rPr>
          <w:tab/>
        </w:r>
        <w:r w:rsidR="004C540E" w:rsidRPr="00B50388">
          <w:rPr>
            <w:rStyle w:val="af"/>
            <w:rFonts w:hint="eastAsia"/>
            <w:noProof/>
          </w:rPr>
          <w:t>目标和原则</w:t>
        </w:r>
        <w:r w:rsidR="004C540E">
          <w:rPr>
            <w:noProof/>
            <w:webHidden/>
          </w:rPr>
          <w:tab/>
        </w:r>
        <w:r w:rsidR="004C540E">
          <w:rPr>
            <w:noProof/>
            <w:webHidden/>
          </w:rPr>
          <w:fldChar w:fldCharType="begin"/>
        </w:r>
        <w:r w:rsidR="004C540E">
          <w:rPr>
            <w:noProof/>
            <w:webHidden/>
          </w:rPr>
          <w:instrText xml:space="preserve"> PAGEREF _Toc435545777 \h </w:instrText>
        </w:r>
        <w:r w:rsidR="004C540E">
          <w:rPr>
            <w:noProof/>
            <w:webHidden/>
          </w:rPr>
        </w:r>
        <w:r w:rsidR="004C540E">
          <w:rPr>
            <w:noProof/>
            <w:webHidden/>
          </w:rPr>
          <w:fldChar w:fldCharType="separate"/>
        </w:r>
        <w:r w:rsidR="001364D6">
          <w:rPr>
            <w:noProof/>
            <w:webHidden/>
          </w:rPr>
          <w:t>4</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78" w:history="1">
        <w:r w:rsidR="004C540E" w:rsidRPr="00B50388">
          <w:rPr>
            <w:rStyle w:val="af"/>
            <w:noProof/>
          </w:rPr>
          <w:t>3.1</w:t>
        </w:r>
        <w:r w:rsidR="004C540E" w:rsidRPr="00B50388">
          <w:rPr>
            <w:rStyle w:val="af"/>
            <w:rFonts w:hint="eastAsia"/>
            <w:noProof/>
          </w:rPr>
          <w:t xml:space="preserve"> </w:t>
        </w:r>
        <w:r w:rsidR="004C540E" w:rsidRPr="00B50388">
          <w:rPr>
            <w:rStyle w:val="af"/>
            <w:rFonts w:hint="eastAsia"/>
            <w:noProof/>
          </w:rPr>
          <w:t>总体原则</w:t>
        </w:r>
        <w:r w:rsidR="004C540E">
          <w:rPr>
            <w:noProof/>
            <w:webHidden/>
          </w:rPr>
          <w:tab/>
        </w:r>
        <w:r w:rsidR="004C540E">
          <w:rPr>
            <w:noProof/>
            <w:webHidden/>
          </w:rPr>
          <w:fldChar w:fldCharType="begin"/>
        </w:r>
        <w:r w:rsidR="004C540E">
          <w:rPr>
            <w:noProof/>
            <w:webHidden/>
          </w:rPr>
          <w:instrText xml:space="preserve"> PAGEREF _Toc435545778 \h </w:instrText>
        </w:r>
        <w:r w:rsidR="004C540E">
          <w:rPr>
            <w:noProof/>
            <w:webHidden/>
          </w:rPr>
        </w:r>
        <w:r w:rsidR="004C540E">
          <w:rPr>
            <w:noProof/>
            <w:webHidden/>
          </w:rPr>
          <w:fldChar w:fldCharType="separate"/>
        </w:r>
        <w:r w:rsidR="001364D6">
          <w:rPr>
            <w:noProof/>
            <w:webHidden/>
          </w:rPr>
          <w:t>4</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79" w:history="1">
        <w:r w:rsidR="004C540E" w:rsidRPr="00B50388">
          <w:rPr>
            <w:rStyle w:val="af"/>
            <w:noProof/>
          </w:rPr>
          <w:t>3.2</w:t>
        </w:r>
        <w:r w:rsidR="004C540E" w:rsidRPr="00B50388">
          <w:rPr>
            <w:rStyle w:val="af"/>
            <w:rFonts w:hint="eastAsia"/>
            <w:noProof/>
          </w:rPr>
          <w:t xml:space="preserve"> </w:t>
        </w:r>
        <w:r w:rsidR="004C540E" w:rsidRPr="00B50388">
          <w:rPr>
            <w:rStyle w:val="af"/>
            <w:rFonts w:hint="eastAsia"/>
            <w:noProof/>
          </w:rPr>
          <w:t>规划引导目标</w:t>
        </w:r>
        <w:r w:rsidR="004C540E">
          <w:rPr>
            <w:noProof/>
            <w:webHidden/>
          </w:rPr>
          <w:tab/>
        </w:r>
        <w:r w:rsidR="004C540E">
          <w:rPr>
            <w:noProof/>
            <w:webHidden/>
          </w:rPr>
          <w:fldChar w:fldCharType="begin"/>
        </w:r>
        <w:r w:rsidR="004C540E">
          <w:rPr>
            <w:noProof/>
            <w:webHidden/>
          </w:rPr>
          <w:instrText xml:space="preserve"> PAGEREF _Toc435545779 \h </w:instrText>
        </w:r>
        <w:r w:rsidR="004C540E">
          <w:rPr>
            <w:noProof/>
            <w:webHidden/>
          </w:rPr>
        </w:r>
        <w:r w:rsidR="004C540E">
          <w:rPr>
            <w:noProof/>
            <w:webHidden/>
          </w:rPr>
          <w:fldChar w:fldCharType="separate"/>
        </w:r>
        <w:r w:rsidR="001364D6">
          <w:rPr>
            <w:noProof/>
            <w:webHidden/>
          </w:rPr>
          <w:t>4</w:t>
        </w:r>
        <w:r w:rsidR="004C540E">
          <w:rPr>
            <w:noProof/>
            <w:webHidden/>
          </w:rPr>
          <w:fldChar w:fldCharType="end"/>
        </w:r>
      </w:hyperlink>
    </w:p>
    <w:p w:rsidR="004C540E" w:rsidRDefault="000B5260">
      <w:pPr>
        <w:pStyle w:val="12"/>
        <w:tabs>
          <w:tab w:val="left" w:pos="560"/>
          <w:tab w:val="right" w:leader="dot" w:pos="8253"/>
        </w:tabs>
        <w:rPr>
          <w:rFonts w:asciiTheme="minorHAnsi" w:eastAsiaTheme="minorEastAsia" w:hAnsiTheme="minorHAnsi" w:cstheme="minorBidi"/>
          <w:bCs w:val="0"/>
          <w:iCs w:val="0"/>
          <w:noProof/>
          <w:sz w:val="21"/>
          <w:szCs w:val="22"/>
        </w:rPr>
      </w:pPr>
      <w:hyperlink w:anchor="_Toc435545780" w:history="1">
        <w:r w:rsidR="004C540E" w:rsidRPr="00B50388">
          <w:rPr>
            <w:rStyle w:val="af"/>
            <w:rFonts w:ascii="宋体" w:hAnsi="宋体"/>
            <w:noProof/>
          </w:rPr>
          <w:t>4</w:t>
        </w:r>
        <w:r w:rsidR="004C540E">
          <w:rPr>
            <w:rFonts w:asciiTheme="minorHAnsi" w:eastAsiaTheme="minorEastAsia" w:hAnsiTheme="minorHAnsi" w:cstheme="minorBidi"/>
            <w:bCs w:val="0"/>
            <w:iCs w:val="0"/>
            <w:noProof/>
            <w:sz w:val="21"/>
            <w:szCs w:val="22"/>
          </w:rPr>
          <w:tab/>
        </w:r>
        <w:r w:rsidR="004C540E" w:rsidRPr="00B50388">
          <w:rPr>
            <w:rStyle w:val="af"/>
            <w:rFonts w:hint="eastAsia"/>
            <w:noProof/>
          </w:rPr>
          <w:t>基本规定</w:t>
        </w:r>
        <w:r w:rsidR="004C540E">
          <w:rPr>
            <w:noProof/>
            <w:webHidden/>
          </w:rPr>
          <w:tab/>
        </w:r>
        <w:r w:rsidR="004C540E">
          <w:rPr>
            <w:noProof/>
            <w:webHidden/>
          </w:rPr>
          <w:fldChar w:fldCharType="begin"/>
        </w:r>
        <w:r w:rsidR="004C540E">
          <w:rPr>
            <w:noProof/>
            <w:webHidden/>
          </w:rPr>
          <w:instrText xml:space="preserve"> PAGEREF _Toc435545780 \h </w:instrText>
        </w:r>
        <w:r w:rsidR="004C540E">
          <w:rPr>
            <w:noProof/>
            <w:webHidden/>
          </w:rPr>
        </w:r>
        <w:r w:rsidR="004C540E">
          <w:rPr>
            <w:noProof/>
            <w:webHidden/>
          </w:rPr>
          <w:fldChar w:fldCharType="separate"/>
        </w:r>
        <w:r w:rsidR="001364D6">
          <w:rPr>
            <w:noProof/>
            <w:webHidden/>
          </w:rPr>
          <w:t>6</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81" w:history="1">
        <w:r w:rsidR="004C540E" w:rsidRPr="00B50388">
          <w:rPr>
            <w:rStyle w:val="af"/>
            <w:noProof/>
          </w:rPr>
          <w:t>4.1</w:t>
        </w:r>
        <w:r w:rsidR="004C540E" w:rsidRPr="00B50388">
          <w:rPr>
            <w:rStyle w:val="af"/>
            <w:rFonts w:hint="eastAsia"/>
            <w:noProof/>
          </w:rPr>
          <w:t xml:space="preserve"> </w:t>
        </w:r>
        <w:r w:rsidR="004C540E" w:rsidRPr="00B50388">
          <w:rPr>
            <w:rStyle w:val="af"/>
            <w:rFonts w:hint="eastAsia"/>
            <w:noProof/>
          </w:rPr>
          <w:t>规划引导的范围</w:t>
        </w:r>
        <w:r w:rsidR="004C540E">
          <w:rPr>
            <w:noProof/>
            <w:webHidden/>
          </w:rPr>
          <w:tab/>
        </w:r>
        <w:r w:rsidR="004C540E">
          <w:rPr>
            <w:noProof/>
            <w:webHidden/>
          </w:rPr>
          <w:fldChar w:fldCharType="begin"/>
        </w:r>
        <w:r w:rsidR="004C540E">
          <w:rPr>
            <w:noProof/>
            <w:webHidden/>
          </w:rPr>
          <w:instrText xml:space="preserve"> PAGEREF _Toc435545781 \h </w:instrText>
        </w:r>
        <w:r w:rsidR="004C540E">
          <w:rPr>
            <w:noProof/>
            <w:webHidden/>
          </w:rPr>
        </w:r>
        <w:r w:rsidR="004C540E">
          <w:rPr>
            <w:noProof/>
            <w:webHidden/>
          </w:rPr>
          <w:fldChar w:fldCharType="separate"/>
        </w:r>
        <w:r w:rsidR="001364D6">
          <w:rPr>
            <w:noProof/>
            <w:webHidden/>
          </w:rPr>
          <w:t>6</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82" w:history="1">
        <w:r w:rsidR="004C540E" w:rsidRPr="00B50388">
          <w:rPr>
            <w:rStyle w:val="af"/>
            <w:noProof/>
          </w:rPr>
          <w:t>4.2</w:t>
        </w:r>
        <w:r w:rsidR="004C540E" w:rsidRPr="00B50388">
          <w:rPr>
            <w:rStyle w:val="af"/>
            <w:rFonts w:hint="eastAsia"/>
            <w:noProof/>
          </w:rPr>
          <w:t xml:space="preserve"> </w:t>
        </w:r>
        <w:r w:rsidR="004C540E" w:rsidRPr="00B50388">
          <w:rPr>
            <w:rStyle w:val="af"/>
            <w:rFonts w:hint="eastAsia"/>
            <w:noProof/>
          </w:rPr>
          <w:t>轨道站点的分类分级</w:t>
        </w:r>
        <w:r w:rsidR="004C540E">
          <w:rPr>
            <w:noProof/>
            <w:webHidden/>
          </w:rPr>
          <w:tab/>
        </w:r>
        <w:r w:rsidR="004C540E">
          <w:rPr>
            <w:noProof/>
            <w:webHidden/>
          </w:rPr>
          <w:fldChar w:fldCharType="begin"/>
        </w:r>
        <w:r w:rsidR="004C540E">
          <w:rPr>
            <w:noProof/>
            <w:webHidden/>
          </w:rPr>
          <w:instrText xml:space="preserve"> PAGEREF _Toc435545782 \h </w:instrText>
        </w:r>
        <w:r w:rsidR="004C540E">
          <w:rPr>
            <w:noProof/>
            <w:webHidden/>
          </w:rPr>
        </w:r>
        <w:r w:rsidR="004C540E">
          <w:rPr>
            <w:noProof/>
            <w:webHidden/>
          </w:rPr>
          <w:fldChar w:fldCharType="separate"/>
        </w:r>
        <w:r w:rsidR="001364D6">
          <w:rPr>
            <w:noProof/>
            <w:webHidden/>
          </w:rPr>
          <w:t>6</w:t>
        </w:r>
        <w:r w:rsidR="004C540E">
          <w:rPr>
            <w:noProof/>
            <w:webHidden/>
          </w:rPr>
          <w:fldChar w:fldCharType="end"/>
        </w:r>
      </w:hyperlink>
    </w:p>
    <w:p w:rsidR="004C540E" w:rsidRDefault="000B5260">
      <w:pPr>
        <w:pStyle w:val="12"/>
        <w:tabs>
          <w:tab w:val="left" w:pos="560"/>
          <w:tab w:val="right" w:leader="dot" w:pos="8253"/>
        </w:tabs>
        <w:rPr>
          <w:rFonts w:asciiTheme="minorHAnsi" w:eastAsiaTheme="minorEastAsia" w:hAnsiTheme="minorHAnsi" w:cstheme="minorBidi"/>
          <w:bCs w:val="0"/>
          <w:iCs w:val="0"/>
          <w:noProof/>
          <w:sz w:val="21"/>
          <w:szCs w:val="22"/>
        </w:rPr>
      </w:pPr>
      <w:hyperlink w:anchor="_Toc435545783" w:history="1">
        <w:r w:rsidR="004C540E" w:rsidRPr="00B50388">
          <w:rPr>
            <w:rStyle w:val="af"/>
            <w:rFonts w:ascii="宋体" w:hAnsi="宋体"/>
            <w:noProof/>
          </w:rPr>
          <w:t>5</w:t>
        </w:r>
        <w:r w:rsidR="004C540E">
          <w:rPr>
            <w:rFonts w:asciiTheme="minorHAnsi" w:eastAsiaTheme="minorEastAsia" w:hAnsiTheme="minorHAnsi" w:cstheme="minorBidi"/>
            <w:bCs w:val="0"/>
            <w:iCs w:val="0"/>
            <w:noProof/>
            <w:sz w:val="21"/>
            <w:szCs w:val="22"/>
          </w:rPr>
          <w:tab/>
        </w:r>
        <w:r w:rsidR="004C540E" w:rsidRPr="00B50388">
          <w:rPr>
            <w:rStyle w:val="af"/>
            <w:rFonts w:hint="eastAsia"/>
            <w:noProof/>
          </w:rPr>
          <w:t>城市层面规划引导</w:t>
        </w:r>
        <w:r w:rsidR="004C540E">
          <w:rPr>
            <w:noProof/>
            <w:webHidden/>
          </w:rPr>
          <w:tab/>
        </w:r>
        <w:r w:rsidR="004C540E">
          <w:rPr>
            <w:noProof/>
            <w:webHidden/>
          </w:rPr>
          <w:fldChar w:fldCharType="begin"/>
        </w:r>
        <w:r w:rsidR="004C540E">
          <w:rPr>
            <w:noProof/>
            <w:webHidden/>
          </w:rPr>
          <w:instrText xml:space="preserve"> PAGEREF _Toc435545783 \h </w:instrText>
        </w:r>
        <w:r w:rsidR="004C540E">
          <w:rPr>
            <w:noProof/>
            <w:webHidden/>
          </w:rPr>
        </w:r>
        <w:r w:rsidR="004C540E">
          <w:rPr>
            <w:noProof/>
            <w:webHidden/>
          </w:rPr>
          <w:fldChar w:fldCharType="separate"/>
        </w:r>
        <w:r w:rsidR="001364D6">
          <w:rPr>
            <w:noProof/>
            <w:webHidden/>
          </w:rPr>
          <w:t>8</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84" w:history="1">
        <w:r w:rsidR="004C540E" w:rsidRPr="00B50388">
          <w:rPr>
            <w:rStyle w:val="af"/>
            <w:noProof/>
          </w:rPr>
          <w:t>5.1</w:t>
        </w:r>
        <w:r w:rsidR="004C540E" w:rsidRPr="00B50388">
          <w:rPr>
            <w:rStyle w:val="af"/>
            <w:rFonts w:hint="eastAsia"/>
            <w:noProof/>
          </w:rPr>
          <w:t xml:space="preserve"> </w:t>
        </w:r>
        <w:r w:rsidR="004C540E" w:rsidRPr="00B50388">
          <w:rPr>
            <w:rStyle w:val="af"/>
            <w:rFonts w:hint="eastAsia"/>
            <w:noProof/>
          </w:rPr>
          <w:t>城市功能优化</w:t>
        </w:r>
        <w:r w:rsidR="004C540E">
          <w:rPr>
            <w:noProof/>
            <w:webHidden/>
          </w:rPr>
          <w:tab/>
        </w:r>
        <w:r w:rsidR="004C540E">
          <w:rPr>
            <w:noProof/>
            <w:webHidden/>
          </w:rPr>
          <w:fldChar w:fldCharType="begin"/>
        </w:r>
        <w:r w:rsidR="004C540E">
          <w:rPr>
            <w:noProof/>
            <w:webHidden/>
          </w:rPr>
          <w:instrText xml:space="preserve"> PAGEREF _Toc435545784 \h </w:instrText>
        </w:r>
        <w:r w:rsidR="004C540E">
          <w:rPr>
            <w:noProof/>
            <w:webHidden/>
          </w:rPr>
        </w:r>
        <w:r w:rsidR="004C540E">
          <w:rPr>
            <w:noProof/>
            <w:webHidden/>
          </w:rPr>
          <w:fldChar w:fldCharType="separate"/>
        </w:r>
        <w:r w:rsidR="001364D6">
          <w:rPr>
            <w:noProof/>
            <w:webHidden/>
          </w:rPr>
          <w:t>8</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85" w:history="1">
        <w:r w:rsidR="004C540E" w:rsidRPr="00B50388">
          <w:rPr>
            <w:rStyle w:val="af"/>
            <w:noProof/>
          </w:rPr>
          <w:t>5.2</w:t>
        </w:r>
        <w:r w:rsidR="004C540E" w:rsidRPr="00B50388">
          <w:rPr>
            <w:rStyle w:val="af"/>
            <w:rFonts w:hint="eastAsia"/>
            <w:noProof/>
          </w:rPr>
          <w:t xml:space="preserve"> </w:t>
        </w:r>
        <w:r w:rsidR="004C540E" w:rsidRPr="00B50388">
          <w:rPr>
            <w:rStyle w:val="af"/>
            <w:rFonts w:hint="eastAsia"/>
            <w:noProof/>
          </w:rPr>
          <w:t>城市交通系统优化</w:t>
        </w:r>
        <w:r w:rsidR="004C540E">
          <w:rPr>
            <w:noProof/>
            <w:webHidden/>
          </w:rPr>
          <w:tab/>
        </w:r>
        <w:r w:rsidR="004C540E">
          <w:rPr>
            <w:noProof/>
            <w:webHidden/>
          </w:rPr>
          <w:fldChar w:fldCharType="begin"/>
        </w:r>
        <w:r w:rsidR="004C540E">
          <w:rPr>
            <w:noProof/>
            <w:webHidden/>
          </w:rPr>
          <w:instrText xml:space="preserve"> PAGEREF _Toc435545785 \h </w:instrText>
        </w:r>
        <w:r w:rsidR="004C540E">
          <w:rPr>
            <w:noProof/>
            <w:webHidden/>
          </w:rPr>
        </w:r>
        <w:r w:rsidR="004C540E">
          <w:rPr>
            <w:noProof/>
            <w:webHidden/>
          </w:rPr>
          <w:fldChar w:fldCharType="separate"/>
        </w:r>
        <w:r w:rsidR="001364D6">
          <w:rPr>
            <w:noProof/>
            <w:webHidden/>
          </w:rPr>
          <w:t>11</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86" w:history="1">
        <w:r w:rsidR="004C540E" w:rsidRPr="00B50388">
          <w:rPr>
            <w:rStyle w:val="af"/>
            <w:noProof/>
          </w:rPr>
          <w:t>5.3</w:t>
        </w:r>
        <w:r w:rsidR="004C540E" w:rsidRPr="00B50388">
          <w:rPr>
            <w:rStyle w:val="af"/>
            <w:rFonts w:hint="eastAsia"/>
            <w:noProof/>
          </w:rPr>
          <w:t xml:space="preserve"> </w:t>
        </w:r>
        <w:r w:rsidR="004C540E" w:rsidRPr="00B50388">
          <w:rPr>
            <w:rStyle w:val="af"/>
            <w:rFonts w:hint="eastAsia"/>
            <w:noProof/>
          </w:rPr>
          <w:t>公交优先引导政策</w:t>
        </w:r>
        <w:r w:rsidR="004C540E">
          <w:rPr>
            <w:noProof/>
            <w:webHidden/>
          </w:rPr>
          <w:tab/>
        </w:r>
        <w:r w:rsidR="004C540E">
          <w:rPr>
            <w:noProof/>
            <w:webHidden/>
          </w:rPr>
          <w:fldChar w:fldCharType="begin"/>
        </w:r>
        <w:r w:rsidR="004C540E">
          <w:rPr>
            <w:noProof/>
            <w:webHidden/>
          </w:rPr>
          <w:instrText xml:space="preserve"> PAGEREF _Toc435545786 \h </w:instrText>
        </w:r>
        <w:r w:rsidR="004C540E">
          <w:rPr>
            <w:noProof/>
            <w:webHidden/>
          </w:rPr>
        </w:r>
        <w:r w:rsidR="004C540E">
          <w:rPr>
            <w:noProof/>
            <w:webHidden/>
          </w:rPr>
          <w:fldChar w:fldCharType="separate"/>
        </w:r>
        <w:r w:rsidR="001364D6">
          <w:rPr>
            <w:noProof/>
            <w:webHidden/>
          </w:rPr>
          <w:t>12</w:t>
        </w:r>
        <w:r w:rsidR="004C540E">
          <w:rPr>
            <w:noProof/>
            <w:webHidden/>
          </w:rPr>
          <w:fldChar w:fldCharType="end"/>
        </w:r>
      </w:hyperlink>
    </w:p>
    <w:p w:rsidR="004C540E" w:rsidRDefault="000B5260">
      <w:pPr>
        <w:pStyle w:val="12"/>
        <w:tabs>
          <w:tab w:val="left" w:pos="560"/>
          <w:tab w:val="right" w:leader="dot" w:pos="8253"/>
        </w:tabs>
        <w:rPr>
          <w:rFonts w:asciiTheme="minorHAnsi" w:eastAsiaTheme="minorEastAsia" w:hAnsiTheme="minorHAnsi" w:cstheme="minorBidi"/>
          <w:bCs w:val="0"/>
          <w:iCs w:val="0"/>
          <w:noProof/>
          <w:sz w:val="21"/>
          <w:szCs w:val="22"/>
        </w:rPr>
      </w:pPr>
      <w:hyperlink w:anchor="_Toc435545787" w:history="1">
        <w:r w:rsidR="004C540E" w:rsidRPr="00B50388">
          <w:rPr>
            <w:rStyle w:val="af"/>
            <w:rFonts w:ascii="宋体" w:hAnsi="宋体"/>
            <w:noProof/>
          </w:rPr>
          <w:t>6</w:t>
        </w:r>
        <w:r w:rsidR="004C540E">
          <w:rPr>
            <w:rFonts w:asciiTheme="minorHAnsi" w:eastAsiaTheme="minorEastAsia" w:hAnsiTheme="minorHAnsi" w:cstheme="minorBidi"/>
            <w:bCs w:val="0"/>
            <w:iCs w:val="0"/>
            <w:noProof/>
            <w:sz w:val="21"/>
            <w:szCs w:val="22"/>
          </w:rPr>
          <w:tab/>
        </w:r>
        <w:r w:rsidR="004C540E" w:rsidRPr="00B50388">
          <w:rPr>
            <w:rStyle w:val="af"/>
            <w:rFonts w:hint="eastAsia"/>
            <w:noProof/>
          </w:rPr>
          <w:t>线路层面规划引导</w:t>
        </w:r>
        <w:r w:rsidR="004C540E">
          <w:rPr>
            <w:noProof/>
            <w:webHidden/>
          </w:rPr>
          <w:tab/>
        </w:r>
        <w:r w:rsidR="004C540E">
          <w:rPr>
            <w:noProof/>
            <w:webHidden/>
          </w:rPr>
          <w:fldChar w:fldCharType="begin"/>
        </w:r>
        <w:r w:rsidR="004C540E">
          <w:rPr>
            <w:noProof/>
            <w:webHidden/>
          </w:rPr>
          <w:instrText xml:space="preserve"> PAGEREF _Toc435545787 \h </w:instrText>
        </w:r>
        <w:r w:rsidR="004C540E">
          <w:rPr>
            <w:noProof/>
            <w:webHidden/>
          </w:rPr>
        </w:r>
        <w:r w:rsidR="004C540E">
          <w:rPr>
            <w:noProof/>
            <w:webHidden/>
          </w:rPr>
          <w:fldChar w:fldCharType="separate"/>
        </w:r>
        <w:r w:rsidR="001364D6">
          <w:rPr>
            <w:noProof/>
            <w:webHidden/>
          </w:rPr>
          <w:t>14</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88" w:history="1">
        <w:r w:rsidR="004C540E" w:rsidRPr="00B50388">
          <w:rPr>
            <w:rStyle w:val="af"/>
            <w:noProof/>
          </w:rPr>
          <w:t>6.1</w:t>
        </w:r>
        <w:r w:rsidR="004C540E" w:rsidRPr="00B50388">
          <w:rPr>
            <w:rStyle w:val="af"/>
            <w:rFonts w:hint="eastAsia"/>
            <w:noProof/>
          </w:rPr>
          <w:t xml:space="preserve"> </w:t>
        </w:r>
        <w:r w:rsidR="004C540E" w:rsidRPr="00B50388">
          <w:rPr>
            <w:rStyle w:val="af"/>
            <w:rFonts w:hint="eastAsia"/>
            <w:noProof/>
          </w:rPr>
          <w:t>开发建设机制</w:t>
        </w:r>
        <w:r w:rsidR="004C540E">
          <w:rPr>
            <w:noProof/>
            <w:webHidden/>
          </w:rPr>
          <w:tab/>
        </w:r>
        <w:r w:rsidR="004C540E">
          <w:rPr>
            <w:noProof/>
            <w:webHidden/>
          </w:rPr>
          <w:fldChar w:fldCharType="begin"/>
        </w:r>
        <w:r w:rsidR="004C540E">
          <w:rPr>
            <w:noProof/>
            <w:webHidden/>
          </w:rPr>
          <w:instrText xml:space="preserve"> PAGEREF _Toc435545788 \h </w:instrText>
        </w:r>
        <w:r w:rsidR="004C540E">
          <w:rPr>
            <w:noProof/>
            <w:webHidden/>
          </w:rPr>
        </w:r>
        <w:r w:rsidR="004C540E">
          <w:rPr>
            <w:noProof/>
            <w:webHidden/>
          </w:rPr>
          <w:fldChar w:fldCharType="separate"/>
        </w:r>
        <w:r w:rsidR="001364D6">
          <w:rPr>
            <w:noProof/>
            <w:webHidden/>
          </w:rPr>
          <w:t>14</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89" w:history="1">
        <w:r w:rsidR="004C540E" w:rsidRPr="00B50388">
          <w:rPr>
            <w:rStyle w:val="af"/>
            <w:noProof/>
          </w:rPr>
          <w:t>6.2</w:t>
        </w:r>
        <w:r w:rsidR="004C540E" w:rsidRPr="00B50388">
          <w:rPr>
            <w:rStyle w:val="af"/>
            <w:rFonts w:hint="eastAsia"/>
            <w:noProof/>
          </w:rPr>
          <w:t xml:space="preserve"> </w:t>
        </w:r>
        <w:r w:rsidR="004C540E" w:rsidRPr="00B50388">
          <w:rPr>
            <w:rStyle w:val="af"/>
            <w:rFonts w:hint="eastAsia"/>
            <w:noProof/>
          </w:rPr>
          <w:t>功能定位</w:t>
        </w:r>
        <w:r w:rsidR="004C540E">
          <w:rPr>
            <w:noProof/>
            <w:webHidden/>
          </w:rPr>
          <w:tab/>
        </w:r>
        <w:r w:rsidR="004C540E">
          <w:rPr>
            <w:noProof/>
            <w:webHidden/>
          </w:rPr>
          <w:fldChar w:fldCharType="begin"/>
        </w:r>
        <w:r w:rsidR="004C540E">
          <w:rPr>
            <w:noProof/>
            <w:webHidden/>
          </w:rPr>
          <w:instrText xml:space="preserve"> PAGEREF _Toc435545789 \h </w:instrText>
        </w:r>
        <w:r w:rsidR="004C540E">
          <w:rPr>
            <w:noProof/>
            <w:webHidden/>
          </w:rPr>
        </w:r>
        <w:r w:rsidR="004C540E">
          <w:rPr>
            <w:noProof/>
            <w:webHidden/>
          </w:rPr>
          <w:fldChar w:fldCharType="separate"/>
        </w:r>
        <w:r w:rsidR="001364D6">
          <w:rPr>
            <w:noProof/>
            <w:webHidden/>
          </w:rPr>
          <w:t>14</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90" w:history="1">
        <w:r w:rsidR="004C540E" w:rsidRPr="00B50388">
          <w:rPr>
            <w:rStyle w:val="af"/>
            <w:noProof/>
          </w:rPr>
          <w:t>6.3</w:t>
        </w:r>
        <w:r w:rsidR="004C540E" w:rsidRPr="00B50388">
          <w:rPr>
            <w:rStyle w:val="af"/>
            <w:rFonts w:hint="eastAsia"/>
            <w:noProof/>
          </w:rPr>
          <w:t xml:space="preserve"> </w:t>
        </w:r>
        <w:r w:rsidR="004C540E" w:rsidRPr="00B50388">
          <w:rPr>
            <w:rStyle w:val="af"/>
            <w:rFonts w:hint="eastAsia"/>
            <w:noProof/>
          </w:rPr>
          <w:t>线路与站点位置优化</w:t>
        </w:r>
        <w:r w:rsidR="004C540E">
          <w:rPr>
            <w:noProof/>
            <w:webHidden/>
          </w:rPr>
          <w:tab/>
        </w:r>
        <w:r w:rsidR="004C540E">
          <w:rPr>
            <w:noProof/>
            <w:webHidden/>
          </w:rPr>
          <w:fldChar w:fldCharType="begin"/>
        </w:r>
        <w:r w:rsidR="004C540E">
          <w:rPr>
            <w:noProof/>
            <w:webHidden/>
          </w:rPr>
          <w:instrText xml:space="preserve"> PAGEREF _Toc435545790 \h </w:instrText>
        </w:r>
        <w:r w:rsidR="004C540E">
          <w:rPr>
            <w:noProof/>
            <w:webHidden/>
          </w:rPr>
        </w:r>
        <w:r w:rsidR="004C540E">
          <w:rPr>
            <w:noProof/>
            <w:webHidden/>
          </w:rPr>
          <w:fldChar w:fldCharType="separate"/>
        </w:r>
        <w:r w:rsidR="001364D6">
          <w:rPr>
            <w:noProof/>
            <w:webHidden/>
          </w:rPr>
          <w:t>16</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91" w:history="1">
        <w:r w:rsidR="004C540E" w:rsidRPr="00B50388">
          <w:rPr>
            <w:rStyle w:val="af"/>
            <w:noProof/>
          </w:rPr>
          <w:t>6.4</w:t>
        </w:r>
        <w:r w:rsidR="004C540E" w:rsidRPr="00B50388">
          <w:rPr>
            <w:rStyle w:val="af"/>
            <w:rFonts w:hint="eastAsia"/>
            <w:noProof/>
          </w:rPr>
          <w:t xml:space="preserve"> </w:t>
        </w:r>
        <w:r w:rsidR="004C540E" w:rsidRPr="00B50388">
          <w:rPr>
            <w:rStyle w:val="af"/>
            <w:rFonts w:hint="eastAsia"/>
            <w:noProof/>
          </w:rPr>
          <w:t>用地功能及建设强度引导</w:t>
        </w:r>
        <w:r w:rsidR="004C540E">
          <w:rPr>
            <w:noProof/>
            <w:webHidden/>
          </w:rPr>
          <w:tab/>
        </w:r>
        <w:r w:rsidR="004C540E">
          <w:rPr>
            <w:noProof/>
            <w:webHidden/>
          </w:rPr>
          <w:fldChar w:fldCharType="begin"/>
        </w:r>
        <w:r w:rsidR="004C540E">
          <w:rPr>
            <w:noProof/>
            <w:webHidden/>
          </w:rPr>
          <w:instrText xml:space="preserve"> PAGEREF _Toc435545791 \h </w:instrText>
        </w:r>
        <w:r w:rsidR="004C540E">
          <w:rPr>
            <w:noProof/>
            <w:webHidden/>
          </w:rPr>
        </w:r>
        <w:r w:rsidR="004C540E">
          <w:rPr>
            <w:noProof/>
            <w:webHidden/>
          </w:rPr>
          <w:fldChar w:fldCharType="separate"/>
        </w:r>
        <w:r w:rsidR="001364D6">
          <w:rPr>
            <w:noProof/>
            <w:webHidden/>
          </w:rPr>
          <w:t>17</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92" w:history="1">
        <w:r w:rsidR="004C540E" w:rsidRPr="00B50388">
          <w:rPr>
            <w:rStyle w:val="af"/>
            <w:noProof/>
          </w:rPr>
          <w:t>6.5</w:t>
        </w:r>
        <w:r w:rsidR="004C540E" w:rsidRPr="00B50388">
          <w:rPr>
            <w:rStyle w:val="af"/>
            <w:rFonts w:hint="eastAsia"/>
            <w:noProof/>
          </w:rPr>
          <w:t xml:space="preserve"> </w:t>
        </w:r>
        <w:r w:rsidR="004C540E" w:rsidRPr="00B50388">
          <w:rPr>
            <w:rStyle w:val="af"/>
            <w:rFonts w:hint="eastAsia"/>
            <w:noProof/>
          </w:rPr>
          <w:t>交通衔接规划引导</w:t>
        </w:r>
        <w:r w:rsidR="004C540E">
          <w:rPr>
            <w:noProof/>
            <w:webHidden/>
          </w:rPr>
          <w:tab/>
        </w:r>
        <w:r w:rsidR="004C540E">
          <w:rPr>
            <w:noProof/>
            <w:webHidden/>
          </w:rPr>
          <w:fldChar w:fldCharType="begin"/>
        </w:r>
        <w:r w:rsidR="004C540E">
          <w:rPr>
            <w:noProof/>
            <w:webHidden/>
          </w:rPr>
          <w:instrText xml:space="preserve"> PAGEREF _Toc435545792 \h </w:instrText>
        </w:r>
        <w:r w:rsidR="004C540E">
          <w:rPr>
            <w:noProof/>
            <w:webHidden/>
          </w:rPr>
        </w:r>
        <w:r w:rsidR="004C540E">
          <w:rPr>
            <w:noProof/>
            <w:webHidden/>
          </w:rPr>
          <w:fldChar w:fldCharType="separate"/>
        </w:r>
        <w:r w:rsidR="001364D6">
          <w:rPr>
            <w:noProof/>
            <w:webHidden/>
          </w:rPr>
          <w:t>22</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93" w:history="1">
        <w:r w:rsidR="004C540E" w:rsidRPr="00B50388">
          <w:rPr>
            <w:rStyle w:val="af"/>
            <w:noProof/>
          </w:rPr>
          <w:t>6.6</w:t>
        </w:r>
        <w:r w:rsidR="004C540E" w:rsidRPr="00B50388">
          <w:rPr>
            <w:rStyle w:val="af"/>
            <w:rFonts w:hint="eastAsia"/>
            <w:noProof/>
          </w:rPr>
          <w:t xml:space="preserve"> </w:t>
        </w:r>
        <w:r w:rsidR="004C540E" w:rsidRPr="00B50388">
          <w:rPr>
            <w:rStyle w:val="af"/>
            <w:rFonts w:hint="eastAsia"/>
            <w:noProof/>
          </w:rPr>
          <w:t>步行系统规划引导</w:t>
        </w:r>
        <w:r w:rsidR="004C540E">
          <w:rPr>
            <w:noProof/>
            <w:webHidden/>
          </w:rPr>
          <w:tab/>
        </w:r>
        <w:r w:rsidR="004C540E">
          <w:rPr>
            <w:noProof/>
            <w:webHidden/>
          </w:rPr>
          <w:fldChar w:fldCharType="begin"/>
        </w:r>
        <w:r w:rsidR="004C540E">
          <w:rPr>
            <w:noProof/>
            <w:webHidden/>
          </w:rPr>
          <w:instrText xml:space="preserve"> PAGEREF _Toc435545793 \h </w:instrText>
        </w:r>
        <w:r w:rsidR="004C540E">
          <w:rPr>
            <w:noProof/>
            <w:webHidden/>
          </w:rPr>
        </w:r>
        <w:r w:rsidR="004C540E">
          <w:rPr>
            <w:noProof/>
            <w:webHidden/>
          </w:rPr>
          <w:fldChar w:fldCharType="separate"/>
        </w:r>
        <w:r w:rsidR="001364D6">
          <w:rPr>
            <w:noProof/>
            <w:webHidden/>
          </w:rPr>
          <w:t>26</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94" w:history="1">
        <w:r w:rsidR="004C540E" w:rsidRPr="00B50388">
          <w:rPr>
            <w:rStyle w:val="af"/>
            <w:noProof/>
          </w:rPr>
          <w:t>6.7</w:t>
        </w:r>
        <w:r w:rsidR="004C540E" w:rsidRPr="00B50388">
          <w:rPr>
            <w:rStyle w:val="af"/>
            <w:rFonts w:hint="eastAsia"/>
            <w:noProof/>
          </w:rPr>
          <w:t xml:space="preserve"> </w:t>
        </w:r>
        <w:r w:rsidR="004C540E" w:rsidRPr="00B50388">
          <w:rPr>
            <w:rStyle w:val="af"/>
            <w:rFonts w:hint="eastAsia"/>
            <w:noProof/>
          </w:rPr>
          <w:t>轨道设施与线路用地控制</w:t>
        </w:r>
        <w:r w:rsidR="004C540E">
          <w:rPr>
            <w:noProof/>
            <w:webHidden/>
          </w:rPr>
          <w:tab/>
        </w:r>
        <w:r w:rsidR="004C540E">
          <w:rPr>
            <w:noProof/>
            <w:webHidden/>
          </w:rPr>
          <w:fldChar w:fldCharType="begin"/>
        </w:r>
        <w:r w:rsidR="004C540E">
          <w:rPr>
            <w:noProof/>
            <w:webHidden/>
          </w:rPr>
          <w:instrText xml:space="preserve"> PAGEREF _Toc435545794 \h </w:instrText>
        </w:r>
        <w:r w:rsidR="004C540E">
          <w:rPr>
            <w:noProof/>
            <w:webHidden/>
          </w:rPr>
        </w:r>
        <w:r w:rsidR="004C540E">
          <w:rPr>
            <w:noProof/>
            <w:webHidden/>
          </w:rPr>
          <w:fldChar w:fldCharType="separate"/>
        </w:r>
        <w:r w:rsidR="001364D6">
          <w:rPr>
            <w:noProof/>
            <w:webHidden/>
          </w:rPr>
          <w:t>32</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95" w:history="1">
        <w:r w:rsidR="004C540E" w:rsidRPr="00B50388">
          <w:rPr>
            <w:rStyle w:val="af"/>
            <w:noProof/>
          </w:rPr>
          <w:t>6.8</w:t>
        </w:r>
        <w:r w:rsidR="004C540E" w:rsidRPr="00B50388">
          <w:rPr>
            <w:rStyle w:val="af"/>
            <w:rFonts w:hint="eastAsia"/>
            <w:noProof/>
          </w:rPr>
          <w:t xml:space="preserve"> </w:t>
        </w:r>
        <w:r w:rsidR="004C540E" w:rsidRPr="00B50388">
          <w:rPr>
            <w:rStyle w:val="af"/>
            <w:rFonts w:hint="eastAsia"/>
            <w:noProof/>
          </w:rPr>
          <w:t>市政管线规划控制</w:t>
        </w:r>
        <w:r w:rsidR="004C540E">
          <w:rPr>
            <w:noProof/>
            <w:webHidden/>
          </w:rPr>
          <w:tab/>
        </w:r>
        <w:r w:rsidR="004C540E">
          <w:rPr>
            <w:noProof/>
            <w:webHidden/>
          </w:rPr>
          <w:fldChar w:fldCharType="begin"/>
        </w:r>
        <w:r w:rsidR="004C540E">
          <w:rPr>
            <w:noProof/>
            <w:webHidden/>
          </w:rPr>
          <w:instrText xml:space="preserve"> PAGEREF _Toc435545795 \h </w:instrText>
        </w:r>
        <w:r w:rsidR="004C540E">
          <w:rPr>
            <w:noProof/>
            <w:webHidden/>
          </w:rPr>
        </w:r>
        <w:r w:rsidR="004C540E">
          <w:rPr>
            <w:noProof/>
            <w:webHidden/>
          </w:rPr>
          <w:fldChar w:fldCharType="separate"/>
        </w:r>
        <w:r w:rsidR="001364D6">
          <w:rPr>
            <w:noProof/>
            <w:webHidden/>
          </w:rPr>
          <w:t>33</w:t>
        </w:r>
        <w:r w:rsidR="004C540E">
          <w:rPr>
            <w:noProof/>
            <w:webHidden/>
          </w:rPr>
          <w:fldChar w:fldCharType="end"/>
        </w:r>
      </w:hyperlink>
    </w:p>
    <w:p w:rsidR="004C540E" w:rsidRDefault="000B5260">
      <w:pPr>
        <w:pStyle w:val="12"/>
        <w:tabs>
          <w:tab w:val="left" w:pos="560"/>
          <w:tab w:val="right" w:leader="dot" w:pos="8253"/>
        </w:tabs>
        <w:rPr>
          <w:rFonts w:asciiTheme="minorHAnsi" w:eastAsiaTheme="minorEastAsia" w:hAnsiTheme="minorHAnsi" w:cstheme="minorBidi"/>
          <w:bCs w:val="0"/>
          <w:iCs w:val="0"/>
          <w:noProof/>
          <w:sz w:val="21"/>
          <w:szCs w:val="22"/>
        </w:rPr>
      </w:pPr>
      <w:hyperlink w:anchor="_Toc435545796" w:history="1">
        <w:r w:rsidR="004C540E" w:rsidRPr="00B50388">
          <w:rPr>
            <w:rStyle w:val="af"/>
            <w:rFonts w:ascii="宋体" w:hAnsi="宋体"/>
            <w:noProof/>
          </w:rPr>
          <w:t>7</w:t>
        </w:r>
        <w:r w:rsidR="004C540E">
          <w:rPr>
            <w:rFonts w:asciiTheme="minorHAnsi" w:eastAsiaTheme="minorEastAsia" w:hAnsiTheme="minorHAnsi" w:cstheme="minorBidi"/>
            <w:bCs w:val="0"/>
            <w:iCs w:val="0"/>
            <w:noProof/>
            <w:sz w:val="21"/>
            <w:szCs w:val="22"/>
          </w:rPr>
          <w:tab/>
        </w:r>
        <w:r w:rsidR="004C540E" w:rsidRPr="00B50388">
          <w:rPr>
            <w:rStyle w:val="af"/>
            <w:rFonts w:hint="eastAsia"/>
            <w:noProof/>
          </w:rPr>
          <w:t>站点层面规划设计引导</w:t>
        </w:r>
        <w:r w:rsidR="004C540E">
          <w:rPr>
            <w:noProof/>
            <w:webHidden/>
          </w:rPr>
          <w:tab/>
        </w:r>
        <w:r w:rsidR="004C540E">
          <w:rPr>
            <w:noProof/>
            <w:webHidden/>
          </w:rPr>
          <w:fldChar w:fldCharType="begin"/>
        </w:r>
        <w:r w:rsidR="004C540E">
          <w:rPr>
            <w:noProof/>
            <w:webHidden/>
          </w:rPr>
          <w:instrText xml:space="preserve"> PAGEREF _Toc435545796 \h </w:instrText>
        </w:r>
        <w:r w:rsidR="004C540E">
          <w:rPr>
            <w:noProof/>
            <w:webHidden/>
          </w:rPr>
        </w:r>
        <w:r w:rsidR="004C540E">
          <w:rPr>
            <w:noProof/>
            <w:webHidden/>
          </w:rPr>
          <w:fldChar w:fldCharType="separate"/>
        </w:r>
        <w:r w:rsidR="001364D6">
          <w:rPr>
            <w:noProof/>
            <w:webHidden/>
          </w:rPr>
          <w:t>35</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97" w:history="1">
        <w:r w:rsidR="004C540E" w:rsidRPr="00B50388">
          <w:rPr>
            <w:rStyle w:val="af"/>
            <w:noProof/>
          </w:rPr>
          <w:t>7.1</w:t>
        </w:r>
        <w:r w:rsidR="004C540E" w:rsidRPr="00B50388">
          <w:rPr>
            <w:rStyle w:val="af"/>
            <w:rFonts w:hint="eastAsia"/>
            <w:noProof/>
          </w:rPr>
          <w:t xml:space="preserve"> </w:t>
        </w:r>
        <w:r w:rsidR="004C540E" w:rsidRPr="00B50388">
          <w:rPr>
            <w:rStyle w:val="af"/>
            <w:rFonts w:hint="eastAsia"/>
            <w:noProof/>
          </w:rPr>
          <w:t>功能协调规划</w:t>
        </w:r>
        <w:r w:rsidR="004C540E">
          <w:rPr>
            <w:noProof/>
            <w:webHidden/>
          </w:rPr>
          <w:tab/>
        </w:r>
        <w:r w:rsidR="004C540E">
          <w:rPr>
            <w:noProof/>
            <w:webHidden/>
          </w:rPr>
          <w:fldChar w:fldCharType="begin"/>
        </w:r>
        <w:r w:rsidR="004C540E">
          <w:rPr>
            <w:noProof/>
            <w:webHidden/>
          </w:rPr>
          <w:instrText xml:space="preserve"> PAGEREF _Toc435545797 \h </w:instrText>
        </w:r>
        <w:r w:rsidR="004C540E">
          <w:rPr>
            <w:noProof/>
            <w:webHidden/>
          </w:rPr>
        </w:r>
        <w:r w:rsidR="004C540E">
          <w:rPr>
            <w:noProof/>
            <w:webHidden/>
          </w:rPr>
          <w:fldChar w:fldCharType="separate"/>
        </w:r>
        <w:r w:rsidR="001364D6">
          <w:rPr>
            <w:noProof/>
            <w:webHidden/>
          </w:rPr>
          <w:t>35</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98" w:history="1">
        <w:r w:rsidR="004C540E" w:rsidRPr="00B50388">
          <w:rPr>
            <w:rStyle w:val="af"/>
            <w:noProof/>
          </w:rPr>
          <w:t>7.2</w:t>
        </w:r>
        <w:r w:rsidR="004C540E" w:rsidRPr="00B50388">
          <w:rPr>
            <w:rStyle w:val="af"/>
            <w:rFonts w:hint="eastAsia"/>
            <w:noProof/>
          </w:rPr>
          <w:t xml:space="preserve"> </w:t>
        </w:r>
        <w:r w:rsidR="004C540E" w:rsidRPr="00B50388">
          <w:rPr>
            <w:rStyle w:val="af"/>
            <w:rFonts w:hint="eastAsia"/>
            <w:noProof/>
          </w:rPr>
          <w:t>空间一体化组织引导</w:t>
        </w:r>
        <w:r w:rsidR="004C540E">
          <w:rPr>
            <w:noProof/>
            <w:webHidden/>
          </w:rPr>
          <w:tab/>
        </w:r>
        <w:r w:rsidR="004C540E">
          <w:rPr>
            <w:noProof/>
            <w:webHidden/>
          </w:rPr>
          <w:fldChar w:fldCharType="begin"/>
        </w:r>
        <w:r w:rsidR="004C540E">
          <w:rPr>
            <w:noProof/>
            <w:webHidden/>
          </w:rPr>
          <w:instrText xml:space="preserve"> PAGEREF _Toc435545798 \h </w:instrText>
        </w:r>
        <w:r w:rsidR="004C540E">
          <w:rPr>
            <w:noProof/>
            <w:webHidden/>
          </w:rPr>
        </w:r>
        <w:r w:rsidR="004C540E">
          <w:rPr>
            <w:noProof/>
            <w:webHidden/>
          </w:rPr>
          <w:fldChar w:fldCharType="separate"/>
        </w:r>
        <w:r w:rsidR="001364D6">
          <w:rPr>
            <w:noProof/>
            <w:webHidden/>
          </w:rPr>
          <w:t>37</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799" w:history="1">
        <w:r w:rsidR="004C540E" w:rsidRPr="00B50388">
          <w:rPr>
            <w:rStyle w:val="af"/>
            <w:noProof/>
          </w:rPr>
          <w:t>7.3</w:t>
        </w:r>
        <w:r w:rsidR="004C540E" w:rsidRPr="00B50388">
          <w:rPr>
            <w:rStyle w:val="af"/>
            <w:rFonts w:hint="eastAsia"/>
            <w:noProof/>
          </w:rPr>
          <w:t xml:space="preserve"> </w:t>
        </w:r>
        <w:r w:rsidR="004C540E" w:rsidRPr="00B50388">
          <w:rPr>
            <w:rStyle w:val="af"/>
            <w:rFonts w:hint="eastAsia"/>
            <w:noProof/>
          </w:rPr>
          <w:t>交通衔接设计引导</w:t>
        </w:r>
        <w:r w:rsidR="004C540E">
          <w:rPr>
            <w:noProof/>
            <w:webHidden/>
          </w:rPr>
          <w:tab/>
        </w:r>
        <w:r w:rsidR="004C540E">
          <w:rPr>
            <w:noProof/>
            <w:webHidden/>
          </w:rPr>
          <w:fldChar w:fldCharType="begin"/>
        </w:r>
        <w:r w:rsidR="004C540E">
          <w:rPr>
            <w:noProof/>
            <w:webHidden/>
          </w:rPr>
          <w:instrText xml:space="preserve"> PAGEREF _Toc435545799 \h </w:instrText>
        </w:r>
        <w:r w:rsidR="004C540E">
          <w:rPr>
            <w:noProof/>
            <w:webHidden/>
          </w:rPr>
        </w:r>
        <w:r w:rsidR="004C540E">
          <w:rPr>
            <w:noProof/>
            <w:webHidden/>
          </w:rPr>
          <w:fldChar w:fldCharType="separate"/>
        </w:r>
        <w:r w:rsidR="001364D6">
          <w:rPr>
            <w:noProof/>
            <w:webHidden/>
          </w:rPr>
          <w:t>38</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800" w:history="1">
        <w:r w:rsidR="004C540E" w:rsidRPr="00B50388">
          <w:rPr>
            <w:rStyle w:val="af"/>
            <w:noProof/>
          </w:rPr>
          <w:t>7.4</w:t>
        </w:r>
        <w:r w:rsidR="004C540E" w:rsidRPr="00B50388">
          <w:rPr>
            <w:rStyle w:val="af"/>
            <w:rFonts w:hint="eastAsia"/>
            <w:noProof/>
          </w:rPr>
          <w:t xml:space="preserve"> </w:t>
        </w:r>
        <w:r w:rsidR="004C540E" w:rsidRPr="00B50388">
          <w:rPr>
            <w:rStyle w:val="af"/>
            <w:rFonts w:hint="eastAsia"/>
            <w:noProof/>
          </w:rPr>
          <w:t>步行空间设计引导</w:t>
        </w:r>
        <w:r w:rsidR="004C540E">
          <w:rPr>
            <w:noProof/>
            <w:webHidden/>
          </w:rPr>
          <w:tab/>
        </w:r>
        <w:r w:rsidR="004C540E">
          <w:rPr>
            <w:noProof/>
            <w:webHidden/>
          </w:rPr>
          <w:fldChar w:fldCharType="begin"/>
        </w:r>
        <w:r w:rsidR="004C540E">
          <w:rPr>
            <w:noProof/>
            <w:webHidden/>
          </w:rPr>
          <w:instrText xml:space="preserve"> PAGEREF _Toc435545800 \h </w:instrText>
        </w:r>
        <w:r w:rsidR="004C540E">
          <w:rPr>
            <w:noProof/>
            <w:webHidden/>
          </w:rPr>
        </w:r>
        <w:r w:rsidR="004C540E">
          <w:rPr>
            <w:noProof/>
            <w:webHidden/>
          </w:rPr>
          <w:fldChar w:fldCharType="separate"/>
        </w:r>
        <w:r w:rsidR="001364D6">
          <w:rPr>
            <w:noProof/>
            <w:webHidden/>
          </w:rPr>
          <w:t>42</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801" w:history="1">
        <w:r w:rsidR="004C540E" w:rsidRPr="00B50388">
          <w:rPr>
            <w:rStyle w:val="af"/>
            <w:noProof/>
          </w:rPr>
          <w:t>7.5</w:t>
        </w:r>
        <w:r w:rsidR="004C540E" w:rsidRPr="00B50388">
          <w:rPr>
            <w:rStyle w:val="af"/>
            <w:rFonts w:hint="eastAsia"/>
            <w:noProof/>
          </w:rPr>
          <w:t xml:space="preserve"> </w:t>
        </w:r>
        <w:r w:rsidR="004C540E" w:rsidRPr="00B50388">
          <w:rPr>
            <w:rStyle w:val="af"/>
            <w:rFonts w:hint="eastAsia"/>
            <w:noProof/>
          </w:rPr>
          <w:t>轨道站点出入口设计引导</w:t>
        </w:r>
        <w:r w:rsidR="004C540E">
          <w:rPr>
            <w:noProof/>
            <w:webHidden/>
          </w:rPr>
          <w:tab/>
        </w:r>
        <w:r w:rsidR="004C540E">
          <w:rPr>
            <w:noProof/>
            <w:webHidden/>
          </w:rPr>
          <w:fldChar w:fldCharType="begin"/>
        </w:r>
        <w:r w:rsidR="004C540E">
          <w:rPr>
            <w:noProof/>
            <w:webHidden/>
          </w:rPr>
          <w:instrText xml:space="preserve"> PAGEREF _Toc435545801 \h </w:instrText>
        </w:r>
        <w:r w:rsidR="004C540E">
          <w:rPr>
            <w:noProof/>
            <w:webHidden/>
          </w:rPr>
        </w:r>
        <w:r w:rsidR="004C540E">
          <w:rPr>
            <w:noProof/>
            <w:webHidden/>
          </w:rPr>
          <w:fldChar w:fldCharType="separate"/>
        </w:r>
        <w:r w:rsidR="001364D6">
          <w:rPr>
            <w:noProof/>
            <w:webHidden/>
          </w:rPr>
          <w:t>47</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802" w:history="1">
        <w:r w:rsidR="004C540E" w:rsidRPr="00B50388">
          <w:rPr>
            <w:rStyle w:val="af"/>
            <w:noProof/>
          </w:rPr>
          <w:t>7.6</w:t>
        </w:r>
        <w:r w:rsidR="004C540E" w:rsidRPr="00B50388">
          <w:rPr>
            <w:rStyle w:val="af"/>
            <w:rFonts w:hint="eastAsia"/>
            <w:noProof/>
          </w:rPr>
          <w:t xml:space="preserve"> </w:t>
        </w:r>
        <w:r w:rsidR="004C540E" w:rsidRPr="00B50388">
          <w:rPr>
            <w:rStyle w:val="af"/>
            <w:rFonts w:hint="eastAsia"/>
            <w:noProof/>
          </w:rPr>
          <w:t>地下空间一体化控制</w:t>
        </w:r>
        <w:r w:rsidR="004C540E">
          <w:rPr>
            <w:noProof/>
            <w:webHidden/>
          </w:rPr>
          <w:tab/>
        </w:r>
        <w:r w:rsidR="004C540E">
          <w:rPr>
            <w:noProof/>
            <w:webHidden/>
          </w:rPr>
          <w:fldChar w:fldCharType="begin"/>
        </w:r>
        <w:r w:rsidR="004C540E">
          <w:rPr>
            <w:noProof/>
            <w:webHidden/>
          </w:rPr>
          <w:instrText xml:space="preserve"> PAGEREF _Toc435545802 \h </w:instrText>
        </w:r>
        <w:r w:rsidR="004C540E">
          <w:rPr>
            <w:noProof/>
            <w:webHidden/>
          </w:rPr>
        </w:r>
        <w:r w:rsidR="004C540E">
          <w:rPr>
            <w:noProof/>
            <w:webHidden/>
          </w:rPr>
          <w:fldChar w:fldCharType="separate"/>
        </w:r>
        <w:r w:rsidR="001364D6">
          <w:rPr>
            <w:noProof/>
            <w:webHidden/>
          </w:rPr>
          <w:t>52</w:t>
        </w:r>
        <w:r w:rsidR="004C540E">
          <w:rPr>
            <w:noProof/>
            <w:webHidden/>
          </w:rPr>
          <w:fldChar w:fldCharType="end"/>
        </w:r>
      </w:hyperlink>
    </w:p>
    <w:p w:rsidR="004C540E" w:rsidRDefault="000B5260">
      <w:pPr>
        <w:pStyle w:val="12"/>
        <w:tabs>
          <w:tab w:val="left" w:pos="560"/>
          <w:tab w:val="right" w:leader="dot" w:pos="8253"/>
        </w:tabs>
        <w:rPr>
          <w:rFonts w:asciiTheme="minorHAnsi" w:eastAsiaTheme="minorEastAsia" w:hAnsiTheme="minorHAnsi" w:cstheme="minorBidi"/>
          <w:bCs w:val="0"/>
          <w:iCs w:val="0"/>
          <w:noProof/>
          <w:sz w:val="21"/>
          <w:szCs w:val="22"/>
        </w:rPr>
      </w:pPr>
      <w:hyperlink w:anchor="_Toc435545803" w:history="1">
        <w:r w:rsidR="004C540E" w:rsidRPr="00B50388">
          <w:rPr>
            <w:rStyle w:val="af"/>
            <w:rFonts w:ascii="宋体" w:hAnsi="宋体"/>
            <w:noProof/>
          </w:rPr>
          <w:t>8</w:t>
        </w:r>
        <w:r w:rsidR="004C540E">
          <w:rPr>
            <w:rFonts w:asciiTheme="minorHAnsi" w:eastAsiaTheme="minorEastAsia" w:hAnsiTheme="minorHAnsi" w:cstheme="minorBidi"/>
            <w:bCs w:val="0"/>
            <w:iCs w:val="0"/>
            <w:noProof/>
            <w:sz w:val="21"/>
            <w:szCs w:val="22"/>
          </w:rPr>
          <w:tab/>
        </w:r>
        <w:r w:rsidR="004C540E" w:rsidRPr="00B50388">
          <w:rPr>
            <w:rStyle w:val="af"/>
            <w:rFonts w:hint="eastAsia"/>
            <w:noProof/>
          </w:rPr>
          <w:t>实施机制</w:t>
        </w:r>
        <w:r w:rsidR="004C540E">
          <w:rPr>
            <w:noProof/>
            <w:webHidden/>
          </w:rPr>
          <w:tab/>
        </w:r>
        <w:r w:rsidR="004C540E">
          <w:rPr>
            <w:noProof/>
            <w:webHidden/>
          </w:rPr>
          <w:fldChar w:fldCharType="begin"/>
        </w:r>
        <w:r w:rsidR="004C540E">
          <w:rPr>
            <w:noProof/>
            <w:webHidden/>
          </w:rPr>
          <w:instrText xml:space="preserve"> PAGEREF _Toc435545803 \h </w:instrText>
        </w:r>
        <w:r w:rsidR="004C540E">
          <w:rPr>
            <w:noProof/>
            <w:webHidden/>
          </w:rPr>
        </w:r>
        <w:r w:rsidR="004C540E">
          <w:rPr>
            <w:noProof/>
            <w:webHidden/>
          </w:rPr>
          <w:fldChar w:fldCharType="separate"/>
        </w:r>
        <w:r w:rsidR="001364D6">
          <w:rPr>
            <w:noProof/>
            <w:webHidden/>
          </w:rPr>
          <w:t>55</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804" w:history="1">
        <w:r w:rsidR="004C540E" w:rsidRPr="00B50388">
          <w:rPr>
            <w:rStyle w:val="af"/>
            <w:noProof/>
          </w:rPr>
          <w:t>8.1</w:t>
        </w:r>
        <w:r w:rsidR="004C540E" w:rsidRPr="00B50388">
          <w:rPr>
            <w:rStyle w:val="af"/>
            <w:rFonts w:hint="eastAsia"/>
            <w:noProof/>
          </w:rPr>
          <w:t xml:space="preserve"> </w:t>
        </w:r>
        <w:r w:rsidR="004C540E" w:rsidRPr="00B50388">
          <w:rPr>
            <w:rStyle w:val="af"/>
            <w:rFonts w:hint="eastAsia"/>
            <w:noProof/>
          </w:rPr>
          <w:t>规划编制流程建议</w:t>
        </w:r>
        <w:r w:rsidR="004C540E">
          <w:rPr>
            <w:noProof/>
            <w:webHidden/>
          </w:rPr>
          <w:tab/>
        </w:r>
        <w:r w:rsidR="004C540E">
          <w:rPr>
            <w:noProof/>
            <w:webHidden/>
          </w:rPr>
          <w:fldChar w:fldCharType="begin"/>
        </w:r>
        <w:r w:rsidR="004C540E">
          <w:rPr>
            <w:noProof/>
            <w:webHidden/>
          </w:rPr>
          <w:instrText xml:space="preserve"> PAGEREF _Toc435545804 \h </w:instrText>
        </w:r>
        <w:r w:rsidR="004C540E">
          <w:rPr>
            <w:noProof/>
            <w:webHidden/>
          </w:rPr>
        </w:r>
        <w:r w:rsidR="004C540E">
          <w:rPr>
            <w:noProof/>
            <w:webHidden/>
          </w:rPr>
          <w:fldChar w:fldCharType="separate"/>
        </w:r>
        <w:r w:rsidR="001364D6">
          <w:rPr>
            <w:noProof/>
            <w:webHidden/>
          </w:rPr>
          <w:t>55</w:t>
        </w:r>
        <w:r w:rsidR="004C540E">
          <w:rPr>
            <w:noProof/>
            <w:webHidden/>
          </w:rPr>
          <w:fldChar w:fldCharType="end"/>
        </w:r>
      </w:hyperlink>
    </w:p>
    <w:p w:rsidR="004C540E" w:rsidRDefault="000B5260">
      <w:pPr>
        <w:pStyle w:val="20"/>
        <w:tabs>
          <w:tab w:val="right" w:leader="dot" w:pos="8253"/>
        </w:tabs>
        <w:ind w:left="120"/>
        <w:rPr>
          <w:rFonts w:asciiTheme="minorHAnsi" w:eastAsiaTheme="minorEastAsia" w:hAnsiTheme="minorHAnsi" w:cstheme="minorBidi"/>
          <w:bCs w:val="0"/>
          <w:noProof/>
          <w:sz w:val="21"/>
        </w:rPr>
      </w:pPr>
      <w:hyperlink w:anchor="_Toc435545805" w:history="1">
        <w:r w:rsidR="004C540E" w:rsidRPr="00B50388">
          <w:rPr>
            <w:rStyle w:val="af"/>
            <w:noProof/>
          </w:rPr>
          <w:t>8.2</w:t>
        </w:r>
        <w:r w:rsidR="004C540E" w:rsidRPr="00B50388">
          <w:rPr>
            <w:rStyle w:val="af"/>
            <w:rFonts w:hint="eastAsia"/>
            <w:noProof/>
          </w:rPr>
          <w:t xml:space="preserve"> </w:t>
        </w:r>
        <w:r w:rsidR="004C540E" w:rsidRPr="00B50388">
          <w:rPr>
            <w:rStyle w:val="af"/>
            <w:rFonts w:hint="eastAsia"/>
            <w:noProof/>
          </w:rPr>
          <w:t>规划管理流程建议</w:t>
        </w:r>
        <w:r w:rsidR="004C540E">
          <w:rPr>
            <w:noProof/>
            <w:webHidden/>
          </w:rPr>
          <w:tab/>
        </w:r>
        <w:r w:rsidR="004C540E">
          <w:rPr>
            <w:noProof/>
            <w:webHidden/>
          </w:rPr>
          <w:fldChar w:fldCharType="begin"/>
        </w:r>
        <w:r w:rsidR="004C540E">
          <w:rPr>
            <w:noProof/>
            <w:webHidden/>
          </w:rPr>
          <w:instrText xml:space="preserve"> PAGEREF _Toc435545805 \h </w:instrText>
        </w:r>
        <w:r w:rsidR="004C540E">
          <w:rPr>
            <w:noProof/>
            <w:webHidden/>
          </w:rPr>
        </w:r>
        <w:r w:rsidR="004C540E">
          <w:rPr>
            <w:noProof/>
            <w:webHidden/>
          </w:rPr>
          <w:fldChar w:fldCharType="separate"/>
        </w:r>
        <w:r w:rsidR="001364D6">
          <w:rPr>
            <w:noProof/>
            <w:webHidden/>
          </w:rPr>
          <w:t>55</w:t>
        </w:r>
        <w:r w:rsidR="004C540E">
          <w:rPr>
            <w:noProof/>
            <w:webHidden/>
          </w:rPr>
          <w:fldChar w:fldCharType="end"/>
        </w:r>
      </w:hyperlink>
    </w:p>
    <w:p w:rsidR="004C540E" w:rsidRDefault="000B5260">
      <w:pPr>
        <w:pStyle w:val="12"/>
        <w:tabs>
          <w:tab w:val="right" w:leader="dot" w:pos="8253"/>
        </w:tabs>
        <w:rPr>
          <w:rFonts w:asciiTheme="minorHAnsi" w:eastAsiaTheme="minorEastAsia" w:hAnsiTheme="minorHAnsi" w:cstheme="minorBidi"/>
          <w:bCs w:val="0"/>
          <w:iCs w:val="0"/>
          <w:noProof/>
          <w:sz w:val="21"/>
          <w:szCs w:val="22"/>
        </w:rPr>
      </w:pPr>
      <w:hyperlink w:anchor="_Toc435545806" w:history="1">
        <w:r w:rsidR="004C540E" w:rsidRPr="00B50388">
          <w:rPr>
            <w:rStyle w:val="af"/>
            <w:rFonts w:hint="eastAsia"/>
            <w:noProof/>
            <w:kern w:val="44"/>
          </w:rPr>
          <w:t>附录</w:t>
        </w:r>
        <w:r w:rsidR="004C540E" w:rsidRPr="00B50388">
          <w:rPr>
            <w:rStyle w:val="af"/>
            <w:noProof/>
            <w:kern w:val="44"/>
          </w:rPr>
          <w:t xml:space="preserve">1 </w:t>
        </w:r>
        <w:r w:rsidR="004C540E" w:rsidRPr="00B50388">
          <w:rPr>
            <w:rStyle w:val="af"/>
            <w:rFonts w:hint="eastAsia"/>
            <w:noProof/>
          </w:rPr>
          <w:t>城市层面规划编制引导</w:t>
        </w:r>
        <w:r w:rsidR="004C540E">
          <w:rPr>
            <w:noProof/>
            <w:webHidden/>
          </w:rPr>
          <w:tab/>
        </w:r>
        <w:r w:rsidR="004C540E">
          <w:rPr>
            <w:noProof/>
            <w:webHidden/>
          </w:rPr>
          <w:fldChar w:fldCharType="begin"/>
        </w:r>
        <w:r w:rsidR="004C540E">
          <w:rPr>
            <w:noProof/>
            <w:webHidden/>
          </w:rPr>
          <w:instrText xml:space="preserve"> PAGEREF _Toc435545806 \h </w:instrText>
        </w:r>
        <w:r w:rsidR="004C540E">
          <w:rPr>
            <w:noProof/>
            <w:webHidden/>
          </w:rPr>
        </w:r>
        <w:r w:rsidR="004C540E">
          <w:rPr>
            <w:noProof/>
            <w:webHidden/>
          </w:rPr>
          <w:fldChar w:fldCharType="separate"/>
        </w:r>
        <w:r w:rsidR="001364D6">
          <w:rPr>
            <w:noProof/>
            <w:webHidden/>
          </w:rPr>
          <w:t>57</w:t>
        </w:r>
        <w:r w:rsidR="004C540E">
          <w:rPr>
            <w:noProof/>
            <w:webHidden/>
          </w:rPr>
          <w:fldChar w:fldCharType="end"/>
        </w:r>
      </w:hyperlink>
    </w:p>
    <w:p w:rsidR="004C540E" w:rsidRDefault="000B5260">
      <w:pPr>
        <w:pStyle w:val="12"/>
        <w:tabs>
          <w:tab w:val="right" w:leader="dot" w:pos="8253"/>
        </w:tabs>
        <w:rPr>
          <w:rFonts w:asciiTheme="minorHAnsi" w:eastAsiaTheme="minorEastAsia" w:hAnsiTheme="minorHAnsi" w:cstheme="minorBidi"/>
          <w:bCs w:val="0"/>
          <w:iCs w:val="0"/>
          <w:noProof/>
          <w:sz w:val="21"/>
          <w:szCs w:val="22"/>
        </w:rPr>
      </w:pPr>
      <w:hyperlink w:anchor="_Toc435545807" w:history="1">
        <w:r w:rsidR="004C540E" w:rsidRPr="00B50388">
          <w:rPr>
            <w:rStyle w:val="af"/>
            <w:rFonts w:hint="eastAsia"/>
            <w:noProof/>
          </w:rPr>
          <w:t>附录</w:t>
        </w:r>
        <w:r w:rsidR="004C540E" w:rsidRPr="00B50388">
          <w:rPr>
            <w:rStyle w:val="af"/>
            <w:noProof/>
          </w:rPr>
          <w:t xml:space="preserve">2 </w:t>
        </w:r>
        <w:r w:rsidR="004C540E" w:rsidRPr="00B50388">
          <w:rPr>
            <w:rStyle w:val="af"/>
            <w:rFonts w:hint="eastAsia"/>
            <w:noProof/>
          </w:rPr>
          <w:t>线路层面规划编制引导</w:t>
        </w:r>
        <w:r w:rsidR="004C540E">
          <w:rPr>
            <w:noProof/>
            <w:webHidden/>
          </w:rPr>
          <w:tab/>
        </w:r>
        <w:r w:rsidR="004C540E">
          <w:rPr>
            <w:noProof/>
            <w:webHidden/>
          </w:rPr>
          <w:fldChar w:fldCharType="begin"/>
        </w:r>
        <w:r w:rsidR="004C540E">
          <w:rPr>
            <w:noProof/>
            <w:webHidden/>
          </w:rPr>
          <w:instrText xml:space="preserve"> PAGEREF _Toc435545807 \h </w:instrText>
        </w:r>
        <w:r w:rsidR="004C540E">
          <w:rPr>
            <w:noProof/>
            <w:webHidden/>
          </w:rPr>
        </w:r>
        <w:r w:rsidR="004C540E">
          <w:rPr>
            <w:noProof/>
            <w:webHidden/>
          </w:rPr>
          <w:fldChar w:fldCharType="separate"/>
        </w:r>
        <w:r w:rsidR="001364D6">
          <w:rPr>
            <w:noProof/>
            <w:webHidden/>
          </w:rPr>
          <w:t>59</w:t>
        </w:r>
        <w:r w:rsidR="004C540E">
          <w:rPr>
            <w:noProof/>
            <w:webHidden/>
          </w:rPr>
          <w:fldChar w:fldCharType="end"/>
        </w:r>
      </w:hyperlink>
    </w:p>
    <w:p w:rsidR="004C540E" w:rsidRDefault="000B5260">
      <w:pPr>
        <w:pStyle w:val="12"/>
        <w:tabs>
          <w:tab w:val="right" w:leader="dot" w:pos="8253"/>
        </w:tabs>
        <w:rPr>
          <w:rFonts w:asciiTheme="minorHAnsi" w:eastAsiaTheme="minorEastAsia" w:hAnsiTheme="minorHAnsi" w:cstheme="minorBidi"/>
          <w:bCs w:val="0"/>
          <w:iCs w:val="0"/>
          <w:noProof/>
          <w:sz w:val="21"/>
          <w:szCs w:val="22"/>
        </w:rPr>
      </w:pPr>
      <w:hyperlink w:anchor="_Toc435545808" w:history="1">
        <w:r w:rsidR="004C540E" w:rsidRPr="00B50388">
          <w:rPr>
            <w:rStyle w:val="af"/>
            <w:rFonts w:hint="eastAsia"/>
            <w:noProof/>
          </w:rPr>
          <w:t>附录</w:t>
        </w:r>
        <w:r w:rsidR="004C540E" w:rsidRPr="00B50388">
          <w:rPr>
            <w:rStyle w:val="af"/>
            <w:noProof/>
          </w:rPr>
          <w:t xml:space="preserve">3 </w:t>
        </w:r>
        <w:r w:rsidR="004C540E" w:rsidRPr="00B50388">
          <w:rPr>
            <w:rStyle w:val="af"/>
            <w:rFonts w:hint="eastAsia"/>
            <w:noProof/>
          </w:rPr>
          <w:t>站点层面规划设计编制引导</w:t>
        </w:r>
        <w:r w:rsidR="004C540E">
          <w:rPr>
            <w:noProof/>
            <w:webHidden/>
          </w:rPr>
          <w:tab/>
        </w:r>
        <w:r w:rsidR="004C540E">
          <w:rPr>
            <w:noProof/>
            <w:webHidden/>
          </w:rPr>
          <w:fldChar w:fldCharType="begin"/>
        </w:r>
        <w:r w:rsidR="004C540E">
          <w:rPr>
            <w:noProof/>
            <w:webHidden/>
          </w:rPr>
          <w:instrText xml:space="preserve"> PAGEREF _Toc435545808 \h </w:instrText>
        </w:r>
        <w:r w:rsidR="004C540E">
          <w:rPr>
            <w:noProof/>
            <w:webHidden/>
          </w:rPr>
        </w:r>
        <w:r w:rsidR="004C540E">
          <w:rPr>
            <w:noProof/>
            <w:webHidden/>
          </w:rPr>
          <w:fldChar w:fldCharType="separate"/>
        </w:r>
        <w:r w:rsidR="001364D6">
          <w:rPr>
            <w:noProof/>
            <w:webHidden/>
          </w:rPr>
          <w:t>63</w:t>
        </w:r>
        <w:r w:rsidR="004C540E">
          <w:rPr>
            <w:noProof/>
            <w:webHidden/>
          </w:rPr>
          <w:fldChar w:fldCharType="end"/>
        </w:r>
      </w:hyperlink>
    </w:p>
    <w:p w:rsidR="002C72DC" w:rsidRPr="00B85FA7" w:rsidRDefault="00835B64">
      <w:pPr>
        <w:spacing w:line="240" w:lineRule="auto"/>
        <w:ind w:firstLine="542"/>
        <w:rPr>
          <w:rFonts w:cs="Times New Roman"/>
          <w:b/>
          <w:sz w:val="36"/>
          <w:szCs w:val="36"/>
        </w:rPr>
        <w:sectPr w:rsidR="002C72DC" w:rsidRPr="00B85FA7">
          <w:footerReference w:type="default" r:id="rId16"/>
          <w:pgSz w:w="11906" w:h="16838"/>
          <w:pgMar w:top="1440" w:right="1800" w:bottom="1440" w:left="1843" w:header="851" w:footer="992" w:gutter="0"/>
          <w:pgNumType w:fmt="upperRoman" w:start="1"/>
          <w:cols w:space="720"/>
          <w:docGrid w:type="lines" w:linePitch="312"/>
        </w:sectPr>
      </w:pPr>
      <w:r w:rsidRPr="00B85FA7">
        <w:rPr>
          <w:rFonts w:ascii="宋体" w:hAnsi="宋体" w:cs="Times New Roman"/>
          <w:b/>
          <w:sz w:val="36"/>
          <w:szCs w:val="36"/>
        </w:rPr>
        <w:fldChar w:fldCharType="end"/>
      </w:r>
    </w:p>
    <w:p w:rsidR="002C72DC" w:rsidRPr="00B85FA7" w:rsidRDefault="008411D0">
      <w:pPr>
        <w:pStyle w:val="cl1051"/>
        <w:numPr>
          <w:ilvl w:val="0"/>
          <w:numId w:val="0"/>
        </w:numPr>
        <w:spacing w:beforeLines="0" w:afterLines="0" w:line="240" w:lineRule="auto"/>
        <w:jc w:val="center"/>
        <w:rPr>
          <w:rFonts w:ascii="宋体" w:eastAsia="宋体" w:hAnsi="宋体"/>
          <w:b w:val="0"/>
          <w:sz w:val="44"/>
          <w:szCs w:val="44"/>
        </w:rPr>
      </w:pPr>
      <w:bookmarkStart w:id="8" w:name="_Toc388530797"/>
      <w:bookmarkStart w:id="9" w:name="_Toc435545771"/>
      <w:bookmarkStart w:id="10" w:name="_Toc398105627"/>
      <w:r w:rsidRPr="00B85FA7">
        <w:rPr>
          <w:rFonts w:ascii="宋体" w:eastAsia="宋体" w:hAnsi="宋体" w:hint="eastAsia"/>
          <w:b w:val="0"/>
          <w:sz w:val="44"/>
          <w:szCs w:val="44"/>
        </w:rPr>
        <w:lastRenderedPageBreak/>
        <w:t>前 言</w:t>
      </w:r>
      <w:bookmarkEnd w:id="8"/>
      <w:bookmarkEnd w:id="9"/>
    </w:p>
    <w:p w:rsidR="002C72DC" w:rsidRPr="00B85FA7" w:rsidRDefault="008411D0" w:rsidP="005E27B8">
      <w:pPr>
        <w:ind w:firstLineChars="200" w:firstLine="480"/>
      </w:pPr>
      <w:r w:rsidRPr="00B85FA7">
        <w:rPr>
          <w:rFonts w:hint="eastAsia"/>
        </w:rPr>
        <w:t>城市轨道沿线地区是发挥城市集聚功能，实现公共交通支撑和引导城市发展，促进绿色出行，提升城市环境品质的重要地区。《国务院办公厅关于加强城市快速轨道交通建设管理的通知》（国办发</w:t>
      </w:r>
      <w:r w:rsidRPr="00B85FA7">
        <w:rPr>
          <w:rFonts w:hint="eastAsia"/>
        </w:rPr>
        <w:t>[2003]81</w:t>
      </w:r>
      <w:r w:rsidRPr="00B85FA7">
        <w:rPr>
          <w:rFonts w:hint="eastAsia"/>
        </w:rPr>
        <w:t>号）已要求各城市在轨道</w:t>
      </w:r>
      <w:r w:rsidRPr="00B85FA7">
        <w:t>交通</w:t>
      </w:r>
      <w:r w:rsidRPr="00B85FA7">
        <w:rPr>
          <w:rFonts w:hint="eastAsia"/>
        </w:rPr>
        <w:t>建设规划阶段编制专项土地控制规划作为轨道交通建设规划评审的专项要件。但长期以来，由于缺乏明确的规划要求与技术引导，在城市规划的各个阶段，城市功能规划缺乏与轨道系统规划和工程建设的有效衔接，造成轨道对城市总体结构引导不足、轨道站点与周边建筑和环境缺乏衔接、空间无序、换乘低效、用地浪费等问题。</w:t>
      </w:r>
    </w:p>
    <w:p w:rsidR="002C72DC" w:rsidRPr="00B85FA7" w:rsidRDefault="008411D0" w:rsidP="005E27B8">
      <w:pPr>
        <w:ind w:firstLineChars="200" w:firstLine="480"/>
      </w:pPr>
      <w:r w:rsidRPr="00B85FA7">
        <w:rPr>
          <w:rFonts w:hint="eastAsia"/>
        </w:rPr>
        <w:t>为切实引导城市轨道沿线地区的规划与建设，充分发挥城市轨道交通对城市空间的引导作用</w:t>
      </w:r>
      <w:r w:rsidR="00253C08" w:rsidRPr="00B85FA7">
        <w:rPr>
          <w:rFonts w:hint="eastAsia"/>
        </w:rPr>
        <w:t>，以轨道站点为核心，构建集约高效、人性化的城市环境和活动</w:t>
      </w:r>
      <w:r w:rsidRPr="00B85FA7">
        <w:rPr>
          <w:rFonts w:hint="eastAsia"/>
        </w:rPr>
        <w:t>空间，住房城乡建设部组织开展了《城市轨道沿线地区规划设计导则》（以下简称</w:t>
      </w:r>
      <w:r w:rsidR="00A151E8" w:rsidRPr="00B85FA7">
        <w:rPr>
          <w:rFonts w:hint="eastAsia"/>
        </w:rPr>
        <w:t>“</w:t>
      </w:r>
      <w:r w:rsidRPr="00B85FA7">
        <w:rPr>
          <w:rFonts w:hint="eastAsia"/>
        </w:rPr>
        <w:t>《导则》</w:t>
      </w:r>
      <w:r w:rsidR="00A151E8" w:rsidRPr="00B85FA7">
        <w:rPr>
          <w:rFonts w:hint="eastAsia"/>
        </w:rPr>
        <w:t>”</w:t>
      </w:r>
      <w:r w:rsidRPr="00B85FA7">
        <w:rPr>
          <w:rFonts w:hint="eastAsia"/>
        </w:rPr>
        <w:t>）的编制工作。《导则》借鉴国内外先进经验，参照既有标准和规范，广泛征求各有关方面意见，针对城市总体规划、控制性详细规划及修建性详细规划三个层次，</w:t>
      </w:r>
      <w:r w:rsidRPr="00B85FA7">
        <w:t>提</w:t>
      </w:r>
      <w:r w:rsidRPr="00B85FA7">
        <w:rPr>
          <w:rFonts w:hint="eastAsia"/>
        </w:rPr>
        <w:t>出有针对性的规划原则、控制重点与设计方法。《导则</w:t>
      </w:r>
      <w:r w:rsidRPr="00B85FA7">
        <w:t>》</w:t>
      </w:r>
      <w:r w:rsidRPr="00B85FA7">
        <w:rPr>
          <w:rFonts w:hint="eastAsia"/>
        </w:rPr>
        <w:t>对</w:t>
      </w:r>
      <w:r w:rsidRPr="00B85FA7">
        <w:t>轨道沿线地区的引导主要包括</w:t>
      </w:r>
      <w:r w:rsidRPr="00B85FA7">
        <w:rPr>
          <w:rFonts w:hint="eastAsia"/>
        </w:rPr>
        <w:t>功能结构、土地使用与建设强度、</w:t>
      </w:r>
      <w:r w:rsidR="00253C08" w:rsidRPr="00B85FA7">
        <w:rPr>
          <w:rFonts w:hint="eastAsia"/>
        </w:rPr>
        <w:t>道路网络、</w:t>
      </w:r>
      <w:r w:rsidRPr="00B85FA7">
        <w:rPr>
          <w:rFonts w:hint="eastAsia"/>
        </w:rPr>
        <w:t>换乘设施、轨道站点出入口</w:t>
      </w:r>
      <w:r w:rsidR="00253C08" w:rsidRPr="00B85FA7">
        <w:rPr>
          <w:rFonts w:hint="eastAsia"/>
        </w:rPr>
        <w:t>及</w:t>
      </w:r>
      <w:r w:rsidRPr="00B85FA7">
        <w:rPr>
          <w:rFonts w:hint="eastAsia"/>
        </w:rPr>
        <w:t>步行系统等方面，对</w:t>
      </w:r>
      <w:r w:rsidR="00253C08" w:rsidRPr="00B85FA7">
        <w:rPr>
          <w:rFonts w:hint="eastAsia"/>
        </w:rPr>
        <w:t>各层次城市规划与轨道建设</w:t>
      </w:r>
      <w:r w:rsidRPr="00B85FA7">
        <w:rPr>
          <w:rFonts w:hint="eastAsia"/>
        </w:rPr>
        <w:t>的一体化衔接具有指导意义。</w:t>
      </w:r>
    </w:p>
    <w:p w:rsidR="002C72DC" w:rsidRPr="00B85FA7" w:rsidRDefault="008411D0" w:rsidP="005E27B8">
      <w:pPr>
        <w:ind w:firstLineChars="200" w:firstLine="480"/>
      </w:pPr>
      <w:r w:rsidRPr="00B85FA7">
        <w:rPr>
          <w:rFonts w:hint="eastAsia"/>
        </w:rPr>
        <w:t>《导则》主要内容包括：总则、</w:t>
      </w:r>
      <w:r w:rsidR="004F2392" w:rsidRPr="00B85FA7">
        <w:rPr>
          <w:rFonts w:hint="eastAsia"/>
        </w:rPr>
        <w:t>术语和定义、</w:t>
      </w:r>
      <w:r w:rsidRPr="00B85FA7">
        <w:rPr>
          <w:rFonts w:hint="eastAsia"/>
        </w:rPr>
        <w:t>目标和原则、基本规定、城市层面规划引导、线路层面规划引导</w:t>
      </w:r>
      <w:r w:rsidR="001F064E" w:rsidRPr="00B85FA7">
        <w:rPr>
          <w:rFonts w:hint="eastAsia"/>
        </w:rPr>
        <w:t>、</w:t>
      </w:r>
      <w:r w:rsidRPr="00B85FA7">
        <w:rPr>
          <w:rFonts w:hint="eastAsia"/>
        </w:rPr>
        <w:t>站点层面规划设计引导</w:t>
      </w:r>
      <w:r w:rsidR="001F064E" w:rsidRPr="00B85FA7">
        <w:rPr>
          <w:rFonts w:hint="eastAsia"/>
        </w:rPr>
        <w:t>和</w:t>
      </w:r>
      <w:r w:rsidR="001F064E" w:rsidRPr="00B85FA7">
        <w:t>实施机制</w:t>
      </w:r>
      <w:r w:rsidRPr="00B85FA7">
        <w:rPr>
          <w:rFonts w:hint="eastAsia"/>
        </w:rPr>
        <w:t>八个章节。同时，为便于指导规划编制与管理实践，《导则》还包括三个附录，分别对各</w:t>
      </w:r>
      <w:r w:rsidR="00253C08" w:rsidRPr="00B85FA7">
        <w:rPr>
          <w:rFonts w:hint="eastAsia"/>
        </w:rPr>
        <w:t>层次</w:t>
      </w:r>
      <w:r w:rsidRPr="00B85FA7">
        <w:rPr>
          <w:rFonts w:hint="eastAsia"/>
        </w:rPr>
        <w:t>规划编制的内容与深度进行引导。城市轨道交通沿线</w:t>
      </w:r>
      <w:r w:rsidR="00253C08" w:rsidRPr="00B85FA7">
        <w:rPr>
          <w:rFonts w:hint="eastAsia"/>
        </w:rPr>
        <w:t>地区</w:t>
      </w:r>
      <w:r w:rsidRPr="00B85FA7">
        <w:rPr>
          <w:rFonts w:hint="eastAsia"/>
        </w:rPr>
        <w:t>的规划与建设除应符合《导则》外，还应符合现行的国家相关标准和规范。</w:t>
      </w:r>
    </w:p>
    <w:p w:rsidR="002C72DC" w:rsidRPr="00B85FA7" w:rsidRDefault="008411D0" w:rsidP="005E27B8">
      <w:pPr>
        <w:ind w:firstLineChars="200" w:firstLine="480"/>
        <w:rPr>
          <w:rFonts w:ascii="Helvetica" w:hAnsi="Helvetica"/>
          <w:kern w:val="32"/>
          <w:sz w:val="32"/>
        </w:rPr>
      </w:pPr>
      <w:r w:rsidRPr="00B85FA7">
        <w:rPr>
          <w:rFonts w:hint="eastAsia"/>
        </w:rPr>
        <w:t>《导则》由住房城乡建设部组织编制，参加编写工作的主要单位是：中国城市规划设计研究院、</w:t>
      </w:r>
      <w:proofErr w:type="gramStart"/>
      <w:r w:rsidRPr="00B85FA7">
        <w:rPr>
          <w:rFonts w:hint="eastAsia"/>
        </w:rPr>
        <w:t>宇恒可持续</w:t>
      </w:r>
      <w:proofErr w:type="gramEnd"/>
      <w:r w:rsidRPr="00B85FA7">
        <w:rPr>
          <w:rFonts w:hint="eastAsia"/>
        </w:rPr>
        <w:t>交通研究中心、深圳市城市交通规划设计研究中心、北京城建设计发展集团股份有限公司、广州市城市规划设计所、广州市地下铁道</w:t>
      </w:r>
      <w:r w:rsidRPr="00B85FA7">
        <w:t>总</w:t>
      </w:r>
      <w:r w:rsidRPr="00B85FA7">
        <w:rPr>
          <w:rFonts w:hint="eastAsia"/>
        </w:rPr>
        <w:t>公司、北京市市政工程设计研究总院有限公司、</w:t>
      </w:r>
      <w:r w:rsidRPr="00B85FA7">
        <w:t>中国</w:t>
      </w:r>
      <w:r w:rsidRPr="00B85FA7">
        <w:rPr>
          <w:rFonts w:hint="eastAsia"/>
        </w:rPr>
        <w:t>地铁工程咨询有限责任公司。</w:t>
      </w:r>
      <w:r w:rsidRPr="00B85FA7">
        <w:br w:type="page"/>
      </w:r>
    </w:p>
    <w:p w:rsidR="002C72DC" w:rsidRPr="00B85FA7" w:rsidRDefault="008411D0">
      <w:pPr>
        <w:pStyle w:val="1"/>
      </w:pPr>
      <w:bookmarkStart w:id="11" w:name="_Toc435545772"/>
      <w:r w:rsidRPr="00B85FA7">
        <w:rPr>
          <w:rFonts w:hint="eastAsia"/>
        </w:rPr>
        <w:lastRenderedPageBreak/>
        <w:t>总则</w:t>
      </w:r>
      <w:bookmarkEnd w:id="10"/>
      <w:bookmarkEnd w:id="11"/>
    </w:p>
    <w:p w:rsidR="002C72DC" w:rsidRPr="00B85FA7" w:rsidRDefault="008411D0">
      <w:pPr>
        <w:pStyle w:val="2"/>
        <w:ind w:left="-240" w:firstLine="482"/>
      </w:pPr>
      <w:bookmarkStart w:id="12" w:name="_Toc398105628"/>
      <w:bookmarkStart w:id="13" w:name="_Toc435545773"/>
      <w:r w:rsidRPr="00B85FA7">
        <w:rPr>
          <w:rFonts w:hint="eastAsia"/>
        </w:rPr>
        <w:t>编写</w:t>
      </w:r>
      <w:bookmarkEnd w:id="12"/>
      <w:r w:rsidRPr="00B85FA7">
        <w:rPr>
          <w:rFonts w:hint="eastAsia"/>
        </w:rPr>
        <w:t>目的</w:t>
      </w:r>
      <w:bookmarkEnd w:id="13"/>
    </w:p>
    <w:p w:rsidR="002C72DC" w:rsidRPr="00B85FA7" w:rsidRDefault="008411D0" w:rsidP="00734B10">
      <w:pPr>
        <w:pStyle w:val="31"/>
        <w:numPr>
          <w:ilvl w:val="2"/>
          <w:numId w:val="3"/>
        </w:numPr>
      </w:pPr>
      <w:r w:rsidRPr="00B85FA7">
        <w:rPr>
          <w:rFonts w:hint="eastAsia"/>
        </w:rPr>
        <w:t>为了加强城市轨道沿线地区的规划引导，实现城市轨道沿线城市功能与交通功能的一体化发展，促进公共交通支撑和引导城市发展的规划模式，建立可持续的交通发展结构，鼓励多功能立体化轨道站点综合开发模式，依据《中华</w:t>
      </w:r>
      <w:r w:rsidRPr="00B85FA7">
        <w:t>人民</w:t>
      </w:r>
      <w:r w:rsidRPr="00B85FA7">
        <w:rPr>
          <w:rFonts w:hint="eastAsia"/>
        </w:rPr>
        <w:t>共和国城乡规划法》等有关法律、法规及技术规范，制定本《导则》。</w:t>
      </w:r>
    </w:p>
    <w:p w:rsidR="002C72DC" w:rsidRPr="00B85FA7" w:rsidRDefault="008411D0" w:rsidP="00734B10">
      <w:pPr>
        <w:pStyle w:val="31"/>
        <w:numPr>
          <w:ilvl w:val="2"/>
          <w:numId w:val="3"/>
        </w:numPr>
      </w:pPr>
      <w:bookmarkStart w:id="14" w:name="_Toc398105629"/>
      <w:r w:rsidRPr="00B85FA7">
        <w:rPr>
          <w:rFonts w:hint="eastAsia"/>
        </w:rPr>
        <w:t>本《导则》作为规划、建设等管理部门在组织编制、论证及审查相关规划设计方案时的工作指引，同时作为规划设计单位编制相关规划及城市设计的技术指南。</w:t>
      </w:r>
    </w:p>
    <w:p w:rsidR="002C72DC" w:rsidRPr="00B85FA7" w:rsidRDefault="008411D0">
      <w:pPr>
        <w:pStyle w:val="2"/>
      </w:pPr>
      <w:bookmarkStart w:id="15" w:name="_Toc435545774"/>
      <w:r w:rsidRPr="00B85FA7">
        <w:rPr>
          <w:rFonts w:hint="eastAsia"/>
        </w:rPr>
        <w:t>层次划分</w:t>
      </w:r>
      <w:bookmarkEnd w:id="14"/>
      <w:bookmarkEnd w:id="15"/>
    </w:p>
    <w:p w:rsidR="002C72DC" w:rsidRPr="003A2BBB" w:rsidRDefault="008411D0" w:rsidP="00C600EF">
      <w:pPr>
        <w:pStyle w:val="31"/>
      </w:pPr>
      <w:r w:rsidRPr="003A2BBB">
        <w:rPr>
          <w:rFonts w:hint="eastAsia"/>
        </w:rPr>
        <w:t>第一层次为城市层面规划引导</w:t>
      </w:r>
      <w:r w:rsidR="00112570" w:rsidRPr="003A2BBB">
        <w:rPr>
          <w:rFonts w:hint="eastAsia"/>
        </w:rPr>
        <w:t>。</w:t>
      </w:r>
      <w:r w:rsidRPr="003A2BBB">
        <w:rPr>
          <w:rFonts w:hint="eastAsia"/>
        </w:rPr>
        <w:t>对轨道交通系统的廊道和换乘枢纽地区进行</w:t>
      </w:r>
      <w:r w:rsidR="00112570" w:rsidRPr="003A2BBB">
        <w:rPr>
          <w:rFonts w:hint="eastAsia"/>
        </w:rPr>
        <w:t>引导</w:t>
      </w:r>
      <w:r w:rsidRPr="003A2BBB">
        <w:rPr>
          <w:rFonts w:hint="eastAsia"/>
        </w:rPr>
        <w:t>，协调轨道交通廊道与城市结构、道路结构与主要枢纽的关系，强化公共交通支撑和引导城市土地使用的开发模式，为城市总</w:t>
      </w:r>
      <w:r w:rsidR="00112570" w:rsidRPr="003A2BBB">
        <w:rPr>
          <w:rFonts w:hint="eastAsia"/>
        </w:rPr>
        <w:t>体规划、分区规划的编制、调整，以及城市相关宏观政策的制定提供</w:t>
      </w:r>
      <w:r w:rsidRPr="003A2BBB">
        <w:rPr>
          <w:rFonts w:hint="eastAsia"/>
        </w:rPr>
        <w:t>参考依据。</w:t>
      </w:r>
    </w:p>
    <w:p w:rsidR="002C72DC" w:rsidRPr="003A2BBB" w:rsidRDefault="008411D0" w:rsidP="00112570">
      <w:pPr>
        <w:pStyle w:val="31"/>
      </w:pPr>
      <w:r w:rsidRPr="003A2BBB">
        <w:rPr>
          <w:rFonts w:hint="eastAsia"/>
        </w:rPr>
        <w:t>第二层次为线路层面的规划引导</w:t>
      </w:r>
      <w:r w:rsidR="00112570" w:rsidRPr="003A2BBB">
        <w:rPr>
          <w:rFonts w:hint="eastAsia"/>
        </w:rPr>
        <w:t>。</w:t>
      </w:r>
      <w:r w:rsidRPr="003A2BBB">
        <w:rPr>
          <w:rFonts w:hint="eastAsia"/>
        </w:rPr>
        <w:t>确</w:t>
      </w:r>
      <w:r w:rsidR="00294309" w:rsidRPr="003A2BBB">
        <w:rPr>
          <w:rFonts w:hint="eastAsia"/>
        </w:rPr>
        <w:t>定</w:t>
      </w:r>
      <w:r w:rsidRPr="003A2BBB">
        <w:rPr>
          <w:rFonts w:hint="eastAsia"/>
        </w:rPr>
        <w:t>轨道沿线片区与站点周边地区的功能定位、建设规模、交通设施及其他公共设施的设置要求、公共空间系统的</w:t>
      </w:r>
      <w:r w:rsidR="00294309" w:rsidRPr="003A2BBB">
        <w:rPr>
          <w:rFonts w:hint="eastAsia"/>
        </w:rPr>
        <w:t>引导</w:t>
      </w:r>
      <w:r w:rsidRPr="003A2BBB">
        <w:rPr>
          <w:rFonts w:hint="eastAsia"/>
        </w:rPr>
        <w:t>要求等</w:t>
      </w:r>
      <w:r w:rsidR="00112570" w:rsidRPr="003A2BBB">
        <w:rPr>
          <w:rFonts w:hint="eastAsia"/>
        </w:rPr>
        <w:t>，</w:t>
      </w:r>
      <w:r w:rsidRPr="003A2BBB">
        <w:rPr>
          <w:rFonts w:hint="eastAsia"/>
        </w:rPr>
        <w:t>为相关地区城市控制性详细规划的编制和调整提供参考依据。</w:t>
      </w:r>
    </w:p>
    <w:p w:rsidR="002C72DC" w:rsidRPr="003A2BBB" w:rsidRDefault="00F25D9F" w:rsidP="00112570">
      <w:pPr>
        <w:pStyle w:val="31"/>
      </w:pPr>
      <w:r w:rsidRPr="003A2BBB">
        <w:rPr>
          <w:rFonts w:hint="eastAsia"/>
        </w:rPr>
        <w:t>第三层次为</w:t>
      </w:r>
      <w:r w:rsidR="008411D0" w:rsidRPr="003A2BBB">
        <w:rPr>
          <w:rFonts w:hint="eastAsia"/>
        </w:rPr>
        <w:t>站点层面规划设计引导</w:t>
      </w:r>
      <w:r w:rsidR="00112570" w:rsidRPr="003A2BBB">
        <w:rPr>
          <w:rFonts w:hint="eastAsia"/>
        </w:rPr>
        <w:t>。</w:t>
      </w:r>
      <w:r w:rsidR="008411D0" w:rsidRPr="003A2BBB">
        <w:rPr>
          <w:rFonts w:hint="eastAsia"/>
        </w:rPr>
        <w:t>确立轨道</w:t>
      </w:r>
      <w:r w:rsidR="00671B60" w:rsidRPr="003A2BBB">
        <w:rPr>
          <w:rFonts w:hint="eastAsia"/>
        </w:rPr>
        <w:t>站点</w:t>
      </w:r>
      <w:r w:rsidR="008411D0" w:rsidRPr="003A2BBB">
        <w:rPr>
          <w:rFonts w:hint="eastAsia"/>
        </w:rPr>
        <w:t>与周边物业发展、交通换乘空间及城市空间的立体对接关系，</w:t>
      </w:r>
      <w:r w:rsidR="00294309" w:rsidRPr="003A2BBB">
        <w:rPr>
          <w:rFonts w:hint="eastAsia"/>
        </w:rPr>
        <w:t>对站点出入口、步行系统的设置提出</w:t>
      </w:r>
      <w:proofErr w:type="gramStart"/>
      <w:r w:rsidR="00294309" w:rsidRPr="003A2BBB">
        <w:rPr>
          <w:rFonts w:hint="eastAsia"/>
        </w:rPr>
        <w:t>详细引导</w:t>
      </w:r>
      <w:proofErr w:type="gramEnd"/>
      <w:r w:rsidR="00294309" w:rsidRPr="003A2BBB">
        <w:rPr>
          <w:rFonts w:hint="eastAsia"/>
        </w:rPr>
        <w:t>要求，</w:t>
      </w:r>
      <w:r w:rsidR="008411D0" w:rsidRPr="003A2BBB">
        <w:rPr>
          <w:rFonts w:hint="eastAsia"/>
        </w:rPr>
        <w:t>相关</w:t>
      </w:r>
      <w:r w:rsidR="00112570" w:rsidRPr="003A2BBB">
        <w:rPr>
          <w:rFonts w:hint="eastAsia"/>
        </w:rPr>
        <w:t>引导</w:t>
      </w:r>
      <w:r w:rsidR="008411D0" w:rsidRPr="003A2BBB">
        <w:rPr>
          <w:rFonts w:hint="eastAsia"/>
        </w:rPr>
        <w:t>要求纳入控制性详细规划</w:t>
      </w:r>
      <w:r w:rsidR="00112570" w:rsidRPr="003A2BBB">
        <w:rPr>
          <w:rFonts w:hint="eastAsia"/>
        </w:rPr>
        <w:t>，</w:t>
      </w:r>
      <w:r w:rsidR="008411D0" w:rsidRPr="003A2BBB">
        <w:rPr>
          <w:rFonts w:hint="eastAsia"/>
        </w:rPr>
        <w:t>并作为土地出让时的附加条件，为相关修建性详细规划的编制提供引导。</w:t>
      </w:r>
    </w:p>
    <w:p w:rsidR="002C72DC" w:rsidRPr="00B85FA7" w:rsidRDefault="008411D0">
      <w:pPr>
        <w:pStyle w:val="2"/>
        <w:ind w:left="-240" w:firstLine="482"/>
      </w:pPr>
      <w:bookmarkStart w:id="16" w:name="_Toc398105630"/>
      <w:bookmarkStart w:id="17" w:name="_Toc435545775"/>
      <w:r w:rsidRPr="00B85FA7">
        <w:rPr>
          <w:rFonts w:hint="eastAsia"/>
        </w:rPr>
        <w:t>适用范围</w:t>
      </w:r>
      <w:bookmarkEnd w:id="16"/>
      <w:bookmarkEnd w:id="17"/>
    </w:p>
    <w:p w:rsidR="002C72DC" w:rsidRPr="00B85FA7" w:rsidRDefault="008411D0" w:rsidP="000057A0">
      <w:pPr>
        <w:pStyle w:val="31"/>
      </w:pPr>
      <w:r w:rsidRPr="00B85FA7">
        <w:rPr>
          <w:rFonts w:hint="eastAsia"/>
        </w:rPr>
        <w:t>本《导则》所称城市轨道，特指</w:t>
      </w:r>
      <w:r w:rsidR="00BC7643" w:rsidRPr="00B85FA7">
        <w:rPr>
          <w:rFonts w:hint="eastAsia"/>
        </w:rPr>
        <w:t>不同形式轨道上运行的大、中运量城市公共交通工具，</w:t>
      </w:r>
      <w:r w:rsidRPr="00B85FA7">
        <w:rPr>
          <w:rFonts w:hint="eastAsia"/>
        </w:rPr>
        <w:t>是地铁、轻轨等轨道交通系统的总称，但不包括低运量的有轨电车系统。</w:t>
      </w:r>
    </w:p>
    <w:p w:rsidR="002C72DC" w:rsidRPr="00B85FA7" w:rsidRDefault="008411D0" w:rsidP="000057A0">
      <w:pPr>
        <w:pStyle w:val="31"/>
      </w:pPr>
      <w:r w:rsidRPr="00B85FA7">
        <w:rPr>
          <w:rFonts w:hint="eastAsia"/>
        </w:rPr>
        <w:t>本导则适用于正在规划及建设城市轨道交通的城市。</w:t>
      </w:r>
    </w:p>
    <w:p w:rsidR="002C76DC" w:rsidRPr="00B85FA7" w:rsidRDefault="004F2392" w:rsidP="00553162">
      <w:pPr>
        <w:pStyle w:val="1"/>
      </w:pPr>
      <w:r w:rsidRPr="00B85FA7">
        <w:br w:type="page"/>
      </w:r>
      <w:bookmarkStart w:id="18" w:name="_Toc435545776"/>
      <w:r w:rsidR="002C76DC" w:rsidRPr="00B85FA7">
        <w:rPr>
          <w:rFonts w:hint="eastAsia"/>
        </w:rPr>
        <w:lastRenderedPageBreak/>
        <w:t>术语和定义</w:t>
      </w:r>
      <w:bookmarkEnd w:id="18"/>
    </w:p>
    <w:p w:rsidR="002C76DC" w:rsidRPr="00B85FA7" w:rsidRDefault="002C76DC" w:rsidP="002C76DC">
      <w:pPr>
        <w:pStyle w:val="31"/>
      </w:pPr>
      <w:r w:rsidRPr="00B85FA7">
        <w:rPr>
          <w:rFonts w:hint="eastAsia"/>
        </w:rPr>
        <w:t>规划城市建设用地：指城市总体规划确定的城市建设用地，包括居住用地、公共管理与公共服务用地、商业服务业设施用地、工业用地、物流仓储用地、道路与交通设施用地、公用设施用地、绿地与广场用地。</w:t>
      </w:r>
    </w:p>
    <w:p w:rsidR="002C76DC" w:rsidRPr="00B85FA7" w:rsidRDefault="002C76DC" w:rsidP="002C76DC">
      <w:pPr>
        <w:pStyle w:val="31"/>
      </w:pPr>
      <w:r w:rsidRPr="00B85FA7">
        <w:rPr>
          <w:rFonts w:hint="eastAsia"/>
        </w:rPr>
        <w:t>规划中心城区</w:t>
      </w:r>
      <w:r w:rsidR="00404278" w:rsidRPr="00B85FA7">
        <w:rPr>
          <w:rFonts w:hint="eastAsia"/>
        </w:rPr>
        <w:t>城市</w:t>
      </w:r>
      <w:r w:rsidRPr="00B85FA7">
        <w:rPr>
          <w:rFonts w:hint="eastAsia"/>
        </w:rPr>
        <w:t>人口：指各城市总体规划中，在城市规模章节中确定的中心城区</w:t>
      </w:r>
      <w:r w:rsidR="00404278" w:rsidRPr="00B85FA7">
        <w:rPr>
          <w:rFonts w:hint="eastAsia"/>
        </w:rPr>
        <w:t>城市</w:t>
      </w:r>
      <w:r w:rsidRPr="00B85FA7">
        <w:rPr>
          <w:rFonts w:hint="eastAsia"/>
        </w:rPr>
        <w:t>人口指标。</w:t>
      </w:r>
    </w:p>
    <w:p w:rsidR="002C76DC" w:rsidRPr="00B85FA7" w:rsidRDefault="002C76DC" w:rsidP="002C76DC">
      <w:pPr>
        <w:pStyle w:val="31"/>
      </w:pPr>
      <w:r w:rsidRPr="00B85FA7">
        <w:rPr>
          <w:rFonts w:hint="eastAsia"/>
        </w:rPr>
        <w:t>轨道影响区：</w:t>
      </w:r>
      <w:proofErr w:type="gramStart"/>
      <w:r w:rsidRPr="00B85FA7">
        <w:rPr>
          <w:rFonts w:hint="eastAsia"/>
        </w:rPr>
        <w:t>指距离</w:t>
      </w:r>
      <w:proofErr w:type="gramEnd"/>
      <w:r w:rsidRPr="00B85FA7">
        <w:rPr>
          <w:rFonts w:hint="eastAsia"/>
        </w:rPr>
        <w:t>站点约</w:t>
      </w:r>
      <w:r w:rsidRPr="00B85FA7">
        <w:t>500~800 m</w:t>
      </w:r>
      <w:r w:rsidRPr="00B85FA7">
        <w:rPr>
          <w:rFonts w:hint="eastAsia"/>
        </w:rPr>
        <w:t>，步行约</w:t>
      </w:r>
      <w:r w:rsidR="00FF2D58" w:rsidRPr="00B85FA7">
        <w:t>1</w:t>
      </w:r>
      <w:r w:rsidR="00FF2D58" w:rsidRPr="00B85FA7">
        <w:rPr>
          <w:rFonts w:hint="eastAsia"/>
        </w:rPr>
        <w:t>5</w:t>
      </w:r>
      <w:r w:rsidR="003A2BBB">
        <w:rPr>
          <w:rFonts w:hint="eastAsia"/>
        </w:rPr>
        <w:t xml:space="preserve"> </w:t>
      </w:r>
      <w:r w:rsidRPr="00B85FA7">
        <w:t>min</w:t>
      </w:r>
      <w:r w:rsidR="00FF2D58" w:rsidRPr="00B85FA7">
        <w:rPr>
          <w:rFonts w:hint="eastAsia"/>
        </w:rPr>
        <w:t>以内</w:t>
      </w:r>
      <w:r w:rsidRPr="00B85FA7">
        <w:rPr>
          <w:rFonts w:hint="eastAsia"/>
        </w:rPr>
        <w:t>可以到达站点入口，与轨道功能紧密关联的地区</w:t>
      </w:r>
      <w:r w:rsidR="003125A6" w:rsidRPr="00B85FA7">
        <w:rPr>
          <w:rFonts w:hint="eastAsia"/>
        </w:rPr>
        <w:t>。</w:t>
      </w:r>
      <w:r w:rsidRPr="00B85FA7">
        <w:rPr>
          <w:rFonts w:hint="eastAsia"/>
        </w:rPr>
        <w:t>轨道站点未确定位置时，可采用线路两侧各</w:t>
      </w:r>
      <w:r w:rsidRPr="00B85FA7">
        <w:t>500~800 m</w:t>
      </w:r>
      <w:r w:rsidR="00FF2D58" w:rsidRPr="00B85FA7">
        <w:rPr>
          <w:rFonts w:hint="eastAsia"/>
        </w:rPr>
        <w:t>作为轨道影响区范围。一般情况下，单一线路的城市轨道影响区可</w:t>
      </w:r>
      <w:r w:rsidRPr="00B85FA7">
        <w:rPr>
          <w:rFonts w:hint="eastAsia"/>
        </w:rPr>
        <w:t>作为一个带型地区统一规划控制。</w:t>
      </w:r>
    </w:p>
    <w:p w:rsidR="002C76DC" w:rsidRPr="00B85FA7" w:rsidRDefault="002C76DC" w:rsidP="002C76DC">
      <w:pPr>
        <w:pStyle w:val="31"/>
      </w:pPr>
      <w:r w:rsidRPr="00B85FA7">
        <w:rPr>
          <w:rFonts w:hint="eastAsia"/>
        </w:rPr>
        <w:t>轨道站点核心区：</w:t>
      </w:r>
      <w:proofErr w:type="gramStart"/>
      <w:r w:rsidRPr="00B85FA7">
        <w:rPr>
          <w:rFonts w:hint="eastAsia"/>
        </w:rPr>
        <w:t>指距离</w:t>
      </w:r>
      <w:proofErr w:type="gramEnd"/>
      <w:r w:rsidRPr="00B85FA7">
        <w:rPr>
          <w:rFonts w:hint="eastAsia"/>
        </w:rPr>
        <w:t>站点约</w:t>
      </w:r>
      <w:r w:rsidRPr="00B85FA7">
        <w:t>300~500 m</w:t>
      </w:r>
      <w:r w:rsidRPr="00B85FA7">
        <w:rPr>
          <w:rFonts w:hint="eastAsia"/>
        </w:rPr>
        <w:t>，与站点建筑和公共空间直接相连的街坊或开发地块。</w:t>
      </w:r>
    </w:p>
    <w:p w:rsidR="002C76DC" w:rsidRPr="00B85FA7" w:rsidRDefault="002C76DC" w:rsidP="002C76DC">
      <w:pPr>
        <w:pStyle w:val="31"/>
      </w:pPr>
      <w:r w:rsidRPr="00B85FA7">
        <w:rPr>
          <w:rFonts w:hint="eastAsia"/>
        </w:rPr>
        <w:t>潜力地块：指轨道影响区内建设强度较低、土地权属情况简单、功能有待升级、仍具有开发潜力、可以优先收储的用地，以及通过开发筹集轨道建设资金的用地。</w:t>
      </w:r>
    </w:p>
    <w:p w:rsidR="002C76DC" w:rsidRPr="00B85FA7" w:rsidRDefault="002C76DC" w:rsidP="002C76DC">
      <w:pPr>
        <w:pStyle w:val="31"/>
      </w:pPr>
      <w:r w:rsidRPr="00B85FA7">
        <w:rPr>
          <w:rFonts w:hint="eastAsia"/>
        </w:rPr>
        <w:t>公交换乘场站：本《</w:t>
      </w:r>
      <w:r w:rsidRPr="00B85FA7">
        <w:t>导则</w:t>
      </w:r>
      <w:r w:rsidRPr="00B85FA7">
        <w:rPr>
          <w:rFonts w:hint="eastAsia"/>
        </w:rPr>
        <w:t>》</w:t>
      </w:r>
      <w:r w:rsidRPr="00B85FA7">
        <w:t>所</w:t>
      </w:r>
      <w:r w:rsidRPr="00B85FA7">
        <w:rPr>
          <w:rFonts w:hint="eastAsia"/>
        </w:rPr>
        <w:t>称</w:t>
      </w:r>
      <w:r w:rsidRPr="00B85FA7">
        <w:t>公交换乘场站，</w:t>
      </w:r>
      <w:r w:rsidRPr="00B85FA7">
        <w:rPr>
          <w:rFonts w:hint="eastAsia"/>
        </w:rPr>
        <w:t>指设置</w:t>
      </w:r>
      <w:r w:rsidRPr="00B85FA7">
        <w:t>在城市道路红线以外</w:t>
      </w:r>
      <w:r w:rsidRPr="00B85FA7">
        <w:rPr>
          <w:rFonts w:hint="eastAsia"/>
        </w:rPr>
        <w:t>，</w:t>
      </w:r>
      <w:r w:rsidRPr="00B85FA7">
        <w:t>主要为换乘功能服务的公交设施</w:t>
      </w:r>
      <w:r w:rsidRPr="00B85FA7">
        <w:rPr>
          <w:rFonts w:hint="eastAsia"/>
        </w:rPr>
        <w:t>。其功能</w:t>
      </w:r>
      <w:r w:rsidRPr="00B85FA7">
        <w:t>空间主要包括</w:t>
      </w:r>
      <w:r w:rsidRPr="00B85FA7">
        <w:rPr>
          <w:rFonts w:hint="eastAsia"/>
        </w:rPr>
        <w:t>发车</w:t>
      </w:r>
      <w:r w:rsidRPr="00B85FA7">
        <w:t>位、</w:t>
      </w:r>
      <w:r w:rsidRPr="00B85FA7">
        <w:rPr>
          <w:rFonts w:hint="eastAsia"/>
        </w:rPr>
        <w:t>回车</w:t>
      </w:r>
      <w:r w:rsidRPr="00B85FA7">
        <w:t>道、</w:t>
      </w:r>
      <w:r w:rsidRPr="00B85FA7">
        <w:rPr>
          <w:rFonts w:hint="eastAsia"/>
        </w:rPr>
        <w:t>候车</w:t>
      </w:r>
      <w:r w:rsidRPr="00B85FA7">
        <w:t>廊</w:t>
      </w:r>
      <w:r w:rsidRPr="00B85FA7">
        <w:rPr>
          <w:rFonts w:hint="eastAsia"/>
        </w:rPr>
        <w:t>、临时</w:t>
      </w:r>
      <w:r w:rsidRPr="00B85FA7">
        <w:t>停车场和</w:t>
      </w:r>
      <w:r w:rsidRPr="00B85FA7">
        <w:rPr>
          <w:rFonts w:hint="eastAsia"/>
        </w:rPr>
        <w:t>调度</w:t>
      </w:r>
      <w:r w:rsidRPr="00B85FA7">
        <w:t>中心</w:t>
      </w:r>
      <w:r w:rsidRPr="00B85FA7">
        <w:rPr>
          <w:rFonts w:hint="eastAsia"/>
        </w:rPr>
        <w:t>等</w:t>
      </w:r>
      <w:r w:rsidRPr="00B85FA7">
        <w:t>，但不</w:t>
      </w:r>
      <w:r w:rsidRPr="00B85FA7">
        <w:rPr>
          <w:rFonts w:hint="eastAsia"/>
        </w:rPr>
        <w:t>包括夜间停车场</w:t>
      </w:r>
      <w:r w:rsidRPr="00B85FA7">
        <w:t>、保养场</w:t>
      </w:r>
      <w:r w:rsidRPr="00B85FA7">
        <w:rPr>
          <w:rFonts w:hint="eastAsia"/>
        </w:rPr>
        <w:t>、</w:t>
      </w:r>
      <w:r w:rsidRPr="00B85FA7">
        <w:t>修理厂等不直接为</w:t>
      </w:r>
      <w:r w:rsidRPr="00B85FA7">
        <w:rPr>
          <w:rFonts w:hint="eastAsia"/>
        </w:rPr>
        <w:t>乘客</w:t>
      </w:r>
      <w:r w:rsidRPr="00B85FA7">
        <w:t>服务的设施。</w:t>
      </w:r>
    </w:p>
    <w:p w:rsidR="002C76DC" w:rsidRPr="00B85FA7" w:rsidRDefault="002C76DC" w:rsidP="002C76DC">
      <w:pPr>
        <w:spacing w:before="0" w:after="0" w:line="240" w:lineRule="auto"/>
        <w:ind w:firstLineChars="0" w:firstLine="0"/>
        <w:rPr>
          <w:rFonts w:cs="Times New Roman"/>
          <w:b/>
          <w:kern w:val="0"/>
          <w:szCs w:val="20"/>
        </w:rPr>
      </w:pPr>
      <w:r w:rsidRPr="00B85FA7">
        <w:br w:type="page"/>
      </w:r>
    </w:p>
    <w:p w:rsidR="002C72DC" w:rsidRPr="00B85FA7" w:rsidRDefault="008411D0">
      <w:pPr>
        <w:pStyle w:val="1"/>
      </w:pPr>
      <w:bookmarkStart w:id="19" w:name="_Toc398105631"/>
      <w:bookmarkStart w:id="20" w:name="_Toc435545777"/>
      <w:bookmarkStart w:id="21" w:name="_Toc398105632"/>
      <w:r w:rsidRPr="00B85FA7">
        <w:rPr>
          <w:rFonts w:hint="eastAsia"/>
        </w:rPr>
        <w:lastRenderedPageBreak/>
        <w:t>目标和原则</w:t>
      </w:r>
      <w:bookmarkEnd w:id="19"/>
      <w:bookmarkEnd w:id="20"/>
    </w:p>
    <w:p w:rsidR="002C72DC" w:rsidRPr="00B85FA7" w:rsidRDefault="008411D0">
      <w:pPr>
        <w:pStyle w:val="2"/>
        <w:ind w:left="-240" w:firstLine="482"/>
      </w:pPr>
      <w:bookmarkStart w:id="22" w:name="_Toc435545778"/>
      <w:r w:rsidRPr="00B85FA7">
        <w:rPr>
          <w:rFonts w:hint="eastAsia"/>
        </w:rPr>
        <w:t>总体</w:t>
      </w:r>
      <w:r w:rsidRPr="00B85FA7">
        <w:t>原则</w:t>
      </w:r>
      <w:bookmarkEnd w:id="22"/>
    </w:p>
    <w:p w:rsidR="002C72DC" w:rsidRPr="00B85FA7" w:rsidRDefault="008411D0">
      <w:pPr>
        <w:pStyle w:val="31"/>
      </w:pPr>
      <w:r w:rsidRPr="00B85FA7">
        <w:rPr>
          <w:rFonts w:hint="eastAsia"/>
          <w:szCs w:val="20"/>
        </w:rPr>
        <w:t>贯彻</w:t>
      </w:r>
      <w:r w:rsidRPr="00B85FA7">
        <w:rPr>
          <w:rFonts w:hint="eastAsia"/>
        </w:rPr>
        <w:t>国家法律、法规</w:t>
      </w:r>
      <w:r w:rsidRPr="00B85FA7">
        <w:rPr>
          <w:rFonts w:hint="eastAsia"/>
          <w:szCs w:val="20"/>
        </w:rPr>
        <w:t>、标准</w:t>
      </w:r>
      <w:r w:rsidR="001F064E" w:rsidRPr="00B85FA7">
        <w:rPr>
          <w:rFonts w:hint="eastAsia"/>
          <w:szCs w:val="20"/>
        </w:rPr>
        <w:t>、</w:t>
      </w:r>
      <w:r w:rsidR="001F064E" w:rsidRPr="00B85FA7">
        <w:rPr>
          <w:szCs w:val="20"/>
        </w:rPr>
        <w:t>规范</w:t>
      </w:r>
      <w:r w:rsidRPr="00B85FA7">
        <w:rPr>
          <w:rFonts w:hint="eastAsia"/>
        </w:rPr>
        <w:t>及相关强制性规划的要求。</w:t>
      </w:r>
    </w:p>
    <w:p w:rsidR="002C72DC" w:rsidRPr="003A2BBB" w:rsidRDefault="008411D0">
      <w:pPr>
        <w:pStyle w:val="31"/>
      </w:pPr>
      <w:r w:rsidRPr="003A2BBB">
        <w:rPr>
          <w:rFonts w:hint="eastAsia"/>
        </w:rPr>
        <w:t>坚持以人为本、集约</w:t>
      </w:r>
      <w:r w:rsidR="003201A8" w:rsidRPr="003A2BBB">
        <w:rPr>
          <w:rFonts w:hint="eastAsia"/>
        </w:rPr>
        <w:t>高效</w:t>
      </w:r>
      <w:r w:rsidRPr="003A2BBB">
        <w:rPr>
          <w:rFonts w:hint="eastAsia"/>
        </w:rPr>
        <w:t>的可持续城市发展原则</w:t>
      </w:r>
      <w:r w:rsidR="003201A8" w:rsidRPr="003A2BBB">
        <w:rPr>
          <w:rFonts w:hint="eastAsia"/>
        </w:rPr>
        <w:t>，促进城市用地的集聚发展，节约轨道造价、提高运营效率，</w:t>
      </w:r>
      <w:r w:rsidR="00BA45D5" w:rsidRPr="003A2BBB">
        <w:rPr>
          <w:rFonts w:hint="eastAsia"/>
        </w:rPr>
        <w:t>优化换乘条件</w:t>
      </w:r>
      <w:r w:rsidR="003201A8" w:rsidRPr="003A2BBB">
        <w:rPr>
          <w:rFonts w:hint="eastAsia"/>
        </w:rPr>
        <w:t>。</w:t>
      </w:r>
    </w:p>
    <w:p w:rsidR="002C72DC" w:rsidRPr="00B85FA7" w:rsidRDefault="008411D0">
      <w:pPr>
        <w:pStyle w:val="31"/>
        <w:rPr>
          <w:szCs w:val="20"/>
        </w:rPr>
      </w:pPr>
      <w:r w:rsidRPr="00B85FA7">
        <w:rPr>
          <w:rFonts w:hint="eastAsia"/>
        </w:rPr>
        <w:t>坚持城市规划与轨道交通规划同步对接的原则，促进公共交通支撑和引导城市发展，实现城市功能与轨道交通的协调。</w:t>
      </w:r>
    </w:p>
    <w:p w:rsidR="002C72DC" w:rsidRPr="00B85FA7" w:rsidRDefault="008411D0">
      <w:pPr>
        <w:pStyle w:val="2"/>
        <w:ind w:left="-240" w:firstLine="482"/>
      </w:pPr>
      <w:bookmarkStart w:id="23" w:name="_Toc435545779"/>
      <w:r w:rsidRPr="00B85FA7">
        <w:rPr>
          <w:rFonts w:hint="eastAsia"/>
        </w:rPr>
        <w:t>规划引导目标</w:t>
      </w:r>
      <w:bookmarkEnd w:id="23"/>
    </w:p>
    <w:p w:rsidR="00B9025C" w:rsidRPr="00B85FA7" w:rsidRDefault="008411D0">
      <w:pPr>
        <w:pStyle w:val="31"/>
        <w:rPr>
          <w:b/>
        </w:rPr>
      </w:pPr>
      <w:r w:rsidRPr="00B85FA7">
        <w:rPr>
          <w:rFonts w:hint="eastAsia"/>
        </w:rPr>
        <w:t>城市层面规划引导目标</w:t>
      </w:r>
      <w:r w:rsidR="003125A6" w:rsidRPr="00B85FA7">
        <w:rPr>
          <w:rFonts w:hint="eastAsia"/>
        </w:rPr>
        <w:t>：</w:t>
      </w:r>
    </w:p>
    <w:p w:rsidR="00B9025C" w:rsidRPr="00B85FA7" w:rsidRDefault="008411D0" w:rsidP="00E174E9">
      <w:pPr>
        <w:pStyle w:val="4"/>
        <w:numPr>
          <w:ilvl w:val="3"/>
          <w:numId w:val="52"/>
        </w:numPr>
      </w:pPr>
      <w:r w:rsidRPr="00B85FA7">
        <w:rPr>
          <w:rFonts w:hint="eastAsia"/>
        </w:rPr>
        <w:t>以城市轨道交通规划与建设为契机，构筑公共交通支撑和引导城市发展的城市结构</w:t>
      </w:r>
      <w:r w:rsidR="00060ABA" w:rsidRPr="00B85FA7">
        <w:rPr>
          <w:rFonts w:hint="eastAsia"/>
        </w:rPr>
        <w:t>。</w:t>
      </w:r>
    </w:p>
    <w:p w:rsidR="00B9025C" w:rsidRPr="00B85FA7" w:rsidRDefault="008411D0" w:rsidP="00693C2A">
      <w:pPr>
        <w:pStyle w:val="4"/>
        <w:numPr>
          <w:ilvl w:val="3"/>
          <w:numId w:val="52"/>
        </w:numPr>
      </w:pPr>
      <w:r w:rsidRPr="00B85FA7">
        <w:rPr>
          <w:rFonts w:hint="eastAsia"/>
        </w:rPr>
        <w:t>以轨道交通廊道和枢纽为骨架及节点，布局城市各级公共服务中心</w:t>
      </w:r>
      <w:r w:rsidR="00060ABA" w:rsidRPr="00B85FA7">
        <w:rPr>
          <w:rFonts w:hint="eastAsia"/>
        </w:rPr>
        <w:t>。</w:t>
      </w:r>
    </w:p>
    <w:p w:rsidR="002C72DC" w:rsidRPr="00B85FA7" w:rsidRDefault="008411D0" w:rsidP="00C66342">
      <w:pPr>
        <w:pStyle w:val="4"/>
        <w:numPr>
          <w:ilvl w:val="3"/>
          <w:numId w:val="52"/>
        </w:numPr>
      </w:pPr>
      <w:r w:rsidRPr="00B85FA7">
        <w:rPr>
          <w:rFonts w:hint="eastAsia"/>
        </w:rPr>
        <w:t>以轨道交通及其他公共交通</w:t>
      </w:r>
      <w:r w:rsidR="001B1F3E" w:rsidRPr="00B85FA7">
        <w:rPr>
          <w:rFonts w:hint="eastAsia"/>
        </w:rPr>
        <w:t>的</w:t>
      </w:r>
      <w:r w:rsidRPr="00B85FA7">
        <w:rPr>
          <w:rFonts w:hint="eastAsia"/>
        </w:rPr>
        <w:t>服务水平为依据</w:t>
      </w:r>
      <w:r w:rsidR="00B9025C" w:rsidRPr="00B85FA7">
        <w:rPr>
          <w:rFonts w:hint="eastAsia"/>
        </w:rPr>
        <w:t>，</w:t>
      </w:r>
      <w:r w:rsidRPr="00B85FA7">
        <w:rPr>
          <w:rFonts w:hint="eastAsia"/>
        </w:rPr>
        <w:t>分布城市的居住与就业功能及建设强度。</w:t>
      </w:r>
    </w:p>
    <w:p w:rsidR="002C72DC" w:rsidRPr="00B85FA7" w:rsidRDefault="008411D0">
      <w:pPr>
        <w:pStyle w:val="31"/>
      </w:pPr>
      <w:r w:rsidRPr="00B85FA7">
        <w:rPr>
          <w:rFonts w:hint="eastAsia"/>
        </w:rPr>
        <w:t>线路层面规划引导目标</w:t>
      </w:r>
      <w:r w:rsidR="003125A6" w:rsidRPr="00B85FA7">
        <w:rPr>
          <w:rFonts w:hint="eastAsia"/>
        </w:rPr>
        <w:t>：</w:t>
      </w:r>
    </w:p>
    <w:p w:rsidR="002C72DC" w:rsidRPr="00B85FA7" w:rsidRDefault="008411D0" w:rsidP="00E174E9">
      <w:pPr>
        <w:pStyle w:val="4"/>
        <w:numPr>
          <w:ilvl w:val="3"/>
          <w:numId w:val="35"/>
        </w:numPr>
      </w:pPr>
      <w:r w:rsidRPr="00B85FA7">
        <w:rPr>
          <w:rFonts w:hint="eastAsia"/>
        </w:rPr>
        <w:t>以轨道为核心组织城市生活、构建公共空间，使轨道影响区成为全市的公共活动中心和为周边社区服务的设施配套中心。</w:t>
      </w:r>
    </w:p>
    <w:p w:rsidR="00B0621B" w:rsidRPr="00B85FA7" w:rsidRDefault="008411D0" w:rsidP="000B5260">
      <w:pPr>
        <w:pStyle w:val="4"/>
        <w:numPr>
          <w:ilvl w:val="3"/>
          <w:numId w:val="35"/>
        </w:numPr>
      </w:pPr>
      <w:r w:rsidRPr="00B85FA7">
        <w:rPr>
          <w:rFonts w:hint="eastAsia"/>
        </w:rPr>
        <w:t>在轨道影响区塑造以人为本、</w:t>
      </w:r>
      <w:r w:rsidRPr="000B5260">
        <w:rPr>
          <w:rFonts w:hint="eastAsia"/>
        </w:rPr>
        <w:t>步行、自行车</w:t>
      </w:r>
      <w:r w:rsidRPr="00B85FA7">
        <w:rPr>
          <w:rFonts w:hint="eastAsia"/>
        </w:rPr>
        <w:t>优先的交通环境，保障支路网及人行通道的密度与连通性。</w:t>
      </w:r>
    </w:p>
    <w:p w:rsidR="002C72DC" w:rsidRPr="00B85FA7" w:rsidRDefault="008411D0" w:rsidP="00C600EF">
      <w:pPr>
        <w:pStyle w:val="4"/>
      </w:pPr>
      <w:r w:rsidRPr="00B85FA7">
        <w:rPr>
          <w:rFonts w:hint="eastAsia"/>
          <w:szCs w:val="20"/>
        </w:rPr>
        <w:t>有效控制和保障与</w:t>
      </w:r>
      <w:r w:rsidRPr="00B85FA7">
        <w:rPr>
          <w:rFonts w:hint="eastAsia"/>
        </w:rPr>
        <w:t>轨道相关的路外交通换乘设施的功能空间。</w:t>
      </w:r>
    </w:p>
    <w:p w:rsidR="002C72DC" w:rsidRPr="00B85FA7" w:rsidRDefault="008411D0" w:rsidP="00C600EF">
      <w:pPr>
        <w:pStyle w:val="4"/>
      </w:pPr>
      <w:r w:rsidRPr="00B85FA7">
        <w:rPr>
          <w:rFonts w:hint="eastAsia"/>
        </w:rPr>
        <w:t>保障轨道沿线用地的有效控制与合理高效利用，保证对公共开放空间的有效控制。</w:t>
      </w:r>
    </w:p>
    <w:p w:rsidR="002C72DC" w:rsidRPr="00B85FA7" w:rsidRDefault="008411D0" w:rsidP="00C600EF">
      <w:pPr>
        <w:pStyle w:val="4"/>
      </w:pPr>
      <w:r w:rsidRPr="00B85FA7">
        <w:rPr>
          <w:rFonts w:hint="eastAsia"/>
        </w:rPr>
        <w:t>加强对轨道建设用地及相关轨道设施的控制，保障其可实施性。</w:t>
      </w:r>
    </w:p>
    <w:p w:rsidR="002C72DC" w:rsidRPr="00B85FA7" w:rsidRDefault="008411D0" w:rsidP="00B9025C">
      <w:pPr>
        <w:pStyle w:val="31"/>
      </w:pPr>
      <w:r w:rsidRPr="00B85FA7">
        <w:rPr>
          <w:rFonts w:hint="eastAsia"/>
        </w:rPr>
        <w:lastRenderedPageBreak/>
        <w:t>站点层面规划设计引导目标</w:t>
      </w:r>
      <w:r w:rsidR="003125A6" w:rsidRPr="00B85FA7">
        <w:rPr>
          <w:rFonts w:hint="eastAsia"/>
        </w:rPr>
        <w:t>：</w:t>
      </w:r>
    </w:p>
    <w:p w:rsidR="002C72DC" w:rsidRPr="00B85FA7" w:rsidRDefault="008411D0" w:rsidP="00E174E9">
      <w:pPr>
        <w:pStyle w:val="4"/>
        <w:numPr>
          <w:ilvl w:val="3"/>
          <w:numId w:val="36"/>
        </w:numPr>
      </w:pPr>
      <w:r w:rsidRPr="00B85FA7">
        <w:rPr>
          <w:rFonts w:hint="eastAsia"/>
        </w:rPr>
        <w:t>落实生态修复、城市修补原则，以轨道站点为核心，构建以人为本、环境友好、可持续运营和管理的城市空间。</w:t>
      </w:r>
    </w:p>
    <w:p w:rsidR="002C72DC" w:rsidRPr="00B85FA7" w:rsidRDefault="008411D0" w:rsidP="00C600EF">
      <w:pPr>
        <w:pStyle w:val="4"/>
      </w:pPr>
      <w:r w:rsidRPr="00B85FA7">
        <w:rPr>
          <w:rFonts w:hint="eastAsia"/>
        </w:rPr>
        <w:t>整合轨道出入口和周边建筑及公共空间用地，塑造人车分行、全天候、无障碍的交通枢纽换乘环境。</w:t>
      </w:r>
    </w:p>
    <w:p w:rsidR="002C72DC" w:rsidRPr="00B85FA7" w:rsidRDefault="008411D0" w:rsidP="00C600EF">
      <w:pPr>
        <w:pStyle w:val="4"/>
      </w:pPr>
      <w:r w:rsidRPr="00B85FA7">
        <w:rPr>
          <w:rFonts w:hint="eastAsia"/>
        </w:rPr>
        <w:t>促进轨道站点核心区地下、地上空间的一体化利用，合理规划周边物业功能和用地强度，促进交通功能与城市生活服务功能的有机结合。</w:t>
      </w:r>
    </w:p>
    <w:p w:rsidR="002C72DC" w:rsidRPr="00B85FA7" w:rsidRDefault="008411D0">
      <w:pPr>
        <w:spacing w:before="0" w:after="0" w:line="240" w:lineRule="auto"/>
        <w:ind w:firstLineChars="0" w:firstLine="0"/>
        <w:rPr>
          <w:rFonts w:cs="Times New Roman"/>
          <w:kern w:val="0"/>
          <w:szCs w:val="24"/>
        </w:rPr>
      </w:pPr>
      <w:r w:rsidRPr="00B85FA7">
        <w:rPr>
          <w:rFonts w:cs="Times New Roman"/>
          <w:b/>
          <w:kern w:val="0"/>
        </w:rPr>
        <w:br w:type="page"/>
      </w:r>
    </w:p>
    <w:p w:rsidR="002C72DC" w:rsidRPr="00B85FA7" w:rsidRDefault="008411D0">
      <w:pPr>
        <w:pStyle w:val="1"/>
      </w:pPr>
      <w:bookmarkStart w:id="24" w:name="_Toc407628802"/>
      <w:bookmarkStart w:id="25" w:name="_Toc407628919"/>
      <w:bookmarkStart w:id="26" w:name="_Toc407629738"/>
      <w:bookmarkStart w:id="27" w:name="_Toc407709860"/>
      <w:bookmarkStart w:id="28" w:name="_Toc407628803"/>
      <w:bookmarkStart w:id="29" w:name="_Toc407628920"/>
      <w:bookmarkStart w:id="30" w:name="_Toc407629739"/>
      <w:bookmarkStart w:id="31" w:name="_Toc407709861"/>
      <w:bookmarkStart w:id="32" w:name="_Toc435545780"/>
      <w:bookmarkEnd w:id="24"/>
      <w:bookmarkEnd w:id="25"/>
      <w:bookmarkEnd w:id="26"/>
      <w:bookmarkEnd w:id="27"/>
      <w:bookmarkEnd w:id="28"/>
      <w:bookmarkEnd w:id="29"/>
      <w:bookmarkEnd w:id="30"/>
      <w:bookmarkEnd w:id="31"/>
      <w:r w:rsidRPr="00B85FA7">
        <w:rPr>
          <w:rFonts w:hint="eastAsia"/>
        </w:rPr>
        <w:lastRenderedPageBreak/>
        <w:t>基本规定</w:t>
      </w:r>
      <w:bookmarkEnd w:id="21"/>
      <w:bookmarkEnd w:id="32"/>
    </w:p>
    <w:p w:rsidR="002C72DC" w:rsidRPr="00B85FA7" w:rsidRDefault="008411D0">
      <w:pPr>
        <w:pStyle w:val="2"/>
      </w:pPr>
      <w:bookmarkStart w:id="33" w:name="_Toc398105633"/>
      <w:bookmarkStart w:id="34" w:name="_Toc435545781"/>
      <w:r w:rsidRPr="00B85FA7">
        <w:rPr>
          <w:rFonts w:hint="eastAsia"/>
        </w:rPr>
        <w:t>规划引导的范围</w:t>
      </w:r>
      <w:bookmarkEnd w:id="33"/>
      <w:bookmarkEnd w:id="34"/>
    </w:p>
    <w:p w:rsidR="002C72DC" w:rsidRPr="00B85FA7" w:rsidRDefault="008411D0">
      <w:pPr>
        <w:pStyle w:val="31"/>
      </w:pPr>
      <w:r w:rsidRPr="00B85FA7">
        <w:rPr>
          <w:rFonts w:hint="eastAsia"/>
        </w:rPr>
        <w:t>城市层面轨道交通规划引导的范围为城市总体规划确定的城市建设用地范围。</w:t>
      </w:r>
    </w:p>
    <w:p w:rsidR="002C72DC" w:rsidRPr="00B85FA7" w:rsidRDefault="008411D0">
      <w:pPr>
        <w:pStyle w:val="31"/>
      </w:pPr>
      <w:r w:rsidRPr="00B85FA7">
        <w:rPr>
          <w:rFonts w:hint="eastAsia"/>
        </w:rPr>
        <w:t>线路层面规划引导的范围为轨道影响区。具体范围可根据地形、现状用地条件、城市道路、河流水系、地块功能及用地完整性等实际情况进行调整。</w:t>
      </w:r>
    </w:p>
    <w:p w:rsidR="002C72DC" w:rsidRPr="00B85FA7" w:rsidRDefault="00291A3A">
      <w:pPr>
        <w:pStyle w:val="af2"/>
      </w:pPr>
      <w:r w:rsidRPr="00B85FA7">
        <w:rPr>
          <w:noProof/>
        </w:rPr>
        <w:drawing>
          <wp:inline distT="0" distB="0" distL="0" distR="0" wp14:anchorId="7DC848C3" wp14:editId="079C5043">
            <wp:extent cx="3826613" cy="3944203"/>
            <wp:effectExtent l="0" t="0" r="2540" b="0"/>
            <wp:docPr id="1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pic:cNvPicPr>
                      <a:picLocks noChangeAspect="1" noChangeArrowheads="1"/>
                    </pic:cNvPicPr>
                  </pic:nvPicPr>
                  <pic:blipFill rotWithShape="1">
                    <a:blip r:embed="rId17">
                      <a:extLst>
                        <a:ext uri="{28A0092B-C50C-407E-A947-70E740481C1C}">
                          <a14:useLocalDpi xmlns:a14="http://schemas.microsoft.com/office/drawing/2010/main" val="0"/>
                        </a:ext>
                      </a:extLst>
                    </a:blip>
                    <a:srcRect t="1439"/>
                    <a:stretch/>
                  </pic:blipFill>
                  <pic:spPr bwMode="auto">
                    <a:xfrm>
                      <a:off x="0" y="0"/>
                      <a:ext cx="3881002" cy="4000263"/>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r w:rsidRPr="00B85FA7">
        <w:rPr>
          <w:rFonts w:hint="eastAsia"/>
        </w:rPr>
        <w:t>轨道影响区范围示例</w:t>
      </w:r>
    </w:p>
    <w:p w:rsidR="002C72DC" w:rsidRPr="00B85FA7" w:rsidRDefault="008411D0" w:rsidP="000057A0">
      <w:pPr>
        <w:pStyle w:val="31"/>
      </w:pPr>
      <w:r w:rsidRPr="00B85FA7">
        <w:rPr>
          <w:rFonts w:hint="eastAsia"/>
        </w:rPr>
        <w:t>站点层面规划设计引导的范围为轨道站点核心区。具体范围可根据站点类型、地形、现状用地条件、城市道路等实际情况进行调整。山地城市应因地制宜，确定站点层面规划设计引导的边界。</w:t>
      </w:r>
    </w:p>
    <w:p w:rsidR="002C72DC" w:rsidRPr="00B85FA7" w:rsidRDefault="008411D0" w:rsidP="000057A0">
      <w:pPr>
        <w:pStyle w:val="2"/>
        <w:keepNext w:val="0"/>
        <w:keepLines w:val="0"/>
      </w:pPr>
      <w:bookmarkStart w:id="35" w:name="_Toc398105634"/>
      <w:bookmarkStart w:id="36" w:name="_Toc435545782"/>
      <w:r w:rsidRPr="00B85FA7">
        <w:rPr>
          <w:rFonts w:hint="eastAsia"/>
        </w:rPr>
        <w:t>轨道站点的分类分级</w:t>
      </w:r>
      <w:bookmarkEnd w:id="35"/>
      <w:bookmarkEnd w:id="36"/>
    </w:p>
    <w:p w:rsidR="002C72DC" w:rsidRPr="00B85FA7" w:rsidRDefault="008411D0" w:rsidP="000057A0">
      <w:pPr>
        <w:pStyle w:val="31"/>
      </w:pPr>
      <w:r w:rsidRPr="00B85FA7">
        <w:rPr>
          <w:rFonts w:hint="eastAsia"/>
        </w:rPr>
        <w:t>线网分级：根据城市总体规划确定的中心城区规划城市人口规模</w:t>
      </w:r>
      <w:r w:rsidR="001F064E" w:rsidRPr="00B85FA7">
        <w:rPr>
          <w:rFonts w:hint="eastAsia"/>
        </w:rPr>
        <w:t>，</w:t>
      </w:r>
      <w:r w:rsidRPr="00B85FA7">
        <w:rPr>
          <w:rFonts w:hint="eastAsia"/>
        </w:rPr>
        <w:t>将城市</w:t>
      </w:r>
      <w:r w:rsidRPr="00B85FA7">
        <w:rPr>
          <w:rFonts w:hint="eastAsia"/>
        </w:rPr>
        <w:lastRenderedPageBreak/>
        <w:t>轨道线网等级分为</w:t>
      </w:r>
      <w:r w:rsidRPr="00B85FA7">
        <w:t>I</w:t>
      </w:r>
      <w:r w:rsidRPr="00B85FA7">
        <w:rPr>
          <w:rFonts w:hint="eastAsia"/>
        </w:rPr>
        <w:t>级和</w:t>
      </w:r>
      <w:r w:rsidRPr="00B85FA7">
        <w:t>II</w:t>
      </w:r>
      <w:r w:rsidRPr="00B85FA7">
        <w:rPr>
          <w:rFonts w:hint="eastAsia"/>
        </w:rPr>
        <w:t>级。</w:t>
      </w:r>
      <w:r w:rsidRPr="00B85FA7">
        <w:t>I</w:t>
      </w:r>
      <w:r w:rsidRPr="00B85FA7">
        <w:rPr>
          <w:rFonts w:hint="eastAsia"/>
        </w:rPr>
        <w:t>级为规划中心城区城市人口超过</w:t>
      </w:r>
      <w:r w:rsidRPr="00B85FA7">
        <w:t>500</w:t>
      </w:r>
      <w:r w:rsidRPr="00B85FA7">
        <w:rPr>
          <w:rFonts w:hint="eastAsia"/>
        </w:rPr>
        <w:t>万人的城市轨道线网，</w:t>
      </w:r>
      <w:r w:rsidRPr="00B85FA7">
        <w:t>II</w:t>
      </w:r>
      <w:r w:rsidRPr="00B85FA7">
        <w:rPr>
          <w:rFonts w:hint="eastAsia"/>
        </w:rPr>
        <w:t>级为规划中心城区城市人口为</w:t>
      </w:r>
      <w:r w:rsidRPr="00B85FA7">
        <w:t>150~500</w:t>
      </w:r>
      <w:r w:rsidRPr="00B85FA7">
        <w:rPr>
          <w:rFonts w:hint="eastAsia"/>
        </w:rPr>
        <w:t>万人的城市轨道线网。</w:t>
      </w:r>
    </w:p>
    <w:p w:rsidR="002C72DC" w:rsidRPr="00B85FA7" w:rsidRDefault="008411D0" w:rsidP="000057A0">
      <w:pPr>
        <w:pStyle w:val="31"/>
      </w:pPr>
      <w:r w:rsidRPr="00B85FA7">
        <w:rPr>
          <w:rFonts w:hint="eastAsia"/>
        </w:rPr>
        <w:t>站点类型：城市轨道站点的用地功能应与其交通服务范围及服务水平相匹配；城市公共交通服务水平高的轨道枢纽站和重要站点，应作为城市各级核心商业商务服务中心。</w:t>
      </w:r>
    </w:p>
    <w:p w:rsidR="002C72DC" w:rsidRPr="00B85FA7" w:rsidRDefault="008411D0" w:rsidP="00E174E9">
      <w:pPr>
        <w:pStyle w:val="4"/>
        <w:numPr>
          <w:ilvl w:val="3"/>
          <w:numId w:val="37"/>
        </w:numPr>
      </w:pPr>
      <w:r w:rsidRPr="00B85FA7">
        <w:rPr>
          <w:rFonts w:hint="eastAsia"/>
        </w:rPr>
        <w:t>枢纽站（</w:t>
      </w:r>
      <w:r w:rsidRPr="00B85FA7">
        <w:t>A</w:t>
      </w:r>
      <w:r w:rsidRPr="00B85FA7">
        <w:rPr>
          <w:rFonts w:hint="eastAsia"/>
        </w:rPr>
        <w:t>类）：依托高铁站等大型对外交通设施设置的轨道站点，是城市内外交通转换的重要节点，也是城镇群范围内以公共交通支撑和引导城市发展的重要节点，鼓励结合区域级及市级商业商务服务中心进行规划。</w:t>
      </w:r>
    </w:p>
    <w:p w:rsidR="002C72DC" w:rsidRPr="00B85FA7" w:rsidRDefault="008411D0" w:rsidP="00E174E9">
      <w:pPr>
        <w:pStyle w:val="4"/>
        <w:numPr>
          <w:ilvl w:val="3"/>
          <w:numId w:val="37"/>
        </w:numPr>
      </w:pPr>
      <w:r w:rsidRPr="00B85FA7">
        <w:rPr>
          <w:rFonts w:hint="eastAsia"/>
        </w:rPr>
        <w:t>中心站（Ｂ类）：承担城市</w:t>
      </w:r>
      <w:proofErr w:type="gramStart"/>
      <w:r w:rsidRPr="00B85FA7">
        <w:rPr>
          <w:rFonts w:hint="eastAsia"/>
        </w:rPr>
        <w:t>级中心</w:t>
      </w:r>
      <w:proofErr w:type="gramEnd"/>
      <w:r w:rsidRPr="00B85FA7">
        <w:rPr>
          <w:rFonts w:hint="eastAsia"/>
        </w:rPr>
        <w:t>或副中心功能的轨道站点，原则上为多条轨道交通线路的交汇站。</w:t>
      </w:r>
    </w:p>
    <w:p w:rsidR="002C72DC" w:rsidRPr="00B85FA7" w:rsidRDefault="008411D0" w:rsidP="00E174E9">
      <w:pPr>
        <w:pStyle w:val="4"/>
        <w:numPr>
          <w:ilvl w:val="3"/>
          <w:numId w:val="37"/>
        </w:numPr>
      </w:pPr>
      <w:r w:rsidRPr="00B85FA7">
        <w:rPr>
          <w:rFonts w:hint="eastAsia"/>
        </w:rPr>
        <w:t>组团站（</w:t>
      </w:r>
      <w:r w:rsidRPr="00B85FA7">
        <w:t>C</w:t>
      </w:r>
      <w:r w:rsidRPr="00B85FA7">
        <w:rPr>
          <w:rFonts w:hint="eastAsia"/>
        </w:rPr>
        <w:t>类）：承担组团级公共服务中心功能的轨道站点，为多条轨道交通线路交汇站或轨道交通与城市公交枢纽的重要换乘节点。</w:t>
      </w:r>
    </w:p>
    <w:p w:rsidR="002C72DC" w:rsidRPr="00B85FA7" w:rsidRDefault="008411D0" w:rsidP="00E174E9">
      <w:pPr>
        <w:pStyle w:val="4"/>
        <w:numPr>
          <w:ilvl w:val="3"/>
          <w:numId w:val="37"/>
        </w:numPr>
      </w:pPr>
      <w:r w:rsidRPr="00B85FA7">
        <w:rPr>
          <w:rFonts w:hint="eastAsia"/>
        </w:rPr>
        <w:t>特殊控制站（</w:t>
      </w:r>
      <w:r w:rsidRPr="00B85FA7">
        <w:t>D</w:t>
      </w:r>
      <w:r w:rsidRPr="00B85FA7">
        <w:rPr>
          <w:rFonts w:hint="eastAsia"/>
        </w:rPr>
        <w:t>类）：指位于历史街区、风景名胜区、生态敏感区等特殊区域，应采取特殊控制要求的站点。</w:t>
      </w:r>
    </w:p>
    <w:p w:rsidR="002C72DC" w:rsidRPr="00B85FA7" w:rsidRDefault="008411D0" w:rsidP="00E174E9">
      <w:pPr>
        <w:pStyle w:val="4"/>
        <w:numPr>
          <w:ilvl w:val="3"/>
          <w:numId w:val="37"/>
        </w:numPr>
      </w:pPr>
      <w:r w:rsidRPr="00B85FA7">
        <w:rPr>
          <w:rFonts w:hint="eastAsia"/>
        </w:rPr>
        <w:t>端头站（</w:t>
      </w:r>
      <w:r w:rsidRPr="00B85FA7">
        <w:t>E</w:t>
      </w:r>
      <w:r w:rsidRPr="00B85FA7">
        <w:rPr>
          <w:rFonts w:hint="eastAsia"/>
        </w:rPr>
        <w:t>类）：指轨道交通线路的起终点站，应根据实际需要结合车辆段、公交枢纽等功能设置，并可作为城市郊区型社区的公共服务中心和公共交通换乘中心。</w:t>
      </w:r>
    </w:p>
    <w:p w:rsidR="002C72DC" w:rsidRPr="00B85FA7" w:rsidRDefault="008411D0" w:rsidP="00E174E9">
      <w:pPr>
        <w:pStyle w:val="4"/>
        <w:numPr>
          <w:ilvl w:val="3"/>
          <w:numId w:val="37"/>
        </w:numPr>
      </w:pPr>
      <w:r w:rsidRPr="00B85FA7">
        <w:rPr>
          <w:rFonts w:hint="eastAsia"/>
        </w:rPr>
        <w:t>一般站（</w:t>
      </w:r>
      <w:r w:rsidRPr="00B85FA7">
        <w:t>F</w:t>
      </w:r>
      <w:r w:rsidRPr="00B85FA7">
        <w:rPr>
          <w:rFonts w:hint="eastAsia"/>
        </w:rPr>
        <w:t>类）：指上述站点以外的轨道站点。</w:t>
      </w:r>
    </w:p>
    <w:p w:rsidR="002C72DC" w:rsidRPr="00B85FA7" w:rsidRDefault="008411D0" w:rsidP="000057A0">
      <w:pPr>
        <w:pStyle w:val="10"/>
        <w:widowControl w:val="0"/>
      </w:pPr>
      <w:r w:rsidRPr="00B85FA7">
        <w:rPr>
          <w:rFonts w:hint="eastAsia"/>
        </w:rPr>
        <w:t>站点类型</w:t>
      </w:r>
    </w:p>
    <w:tbl>
      <w:tblPr>
        <w:tblW w:w="8479"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ayout w:type="fixed"/>
        <w:tblLook w:val="04A0" w:firstRow="1" w:lastRow="0" w:firstColumn="1" w:lastColumn="0" w:noHBand="0" w:noVBand="1"/>
      </w:tblPr>
      <w:tblGrid>
        <w:gridCol w:w="1154"/>
        <w:gridCol w:w="1168"/>
        <w:gridCol w:w="1167"/>
        <w:gridCol w:w="1168"/>
        <w:gridCol w:w="1460"/>
        <w:gridCol w:w="1151"/>
        <w:gridCol w:w="1211"/>
      </w:tblGrid>
      <w:tr w:rsidR="002C72DC" w:rsidRPr="00B85FA7" w:rsidTr="00F93F0B">
        <w:trPr>
          <w:trHeight w:val="936"/>
        </w:trPr>
        <w:tc>
          <w:tcPr>
            <w:tcW w:w="1154" w:type="dxa"/>
            <w:tcBorders>
              <w:top w:val="single" w:sz="12" w:space="0" w:color="000000"/>
              <w:bottom w:val="single" w:sz="2" w:space="0" w:color="000000"/>
              <w:tl2br w:val="single" w:sz="2" w:space="0" w:color="000000"/>
            </w:tcBorders>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站点类型</w:t>
            </w:r>
          </w:p>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 xml:space="preserve">　</w:t>
            </w:r>
          </w:p>
          <w:p w:rsidR="002C72DC" w:rsidRPr="00B85FA7" w:rsidRDefault="008411D0">
            <w:pPr>
              <w:spacing w:before="0" w:after="0" w:line="240" w:lineRule="auto"/>
              <w:ind w:firstLineChars="0" w:firstLine="0"/>
              <w:rPr>
                <w:rFonts w:ascii="宋体" w:hAnsi="宋体" w:cs="宋体"/>
                <w:color w:val="000000"/>
                <w:kern w:val="0"/>
                <w:sz w:val="21"/>
              </w:rPr>
            </w:pPr>
            <w:r w:rsidRPr="00B85FA7">
              <w:rPr>
                <w:rFonts w:ascii="宋体" w:hAnsi="宋体" w:cs="宋体" w:hint="eastAsia"/>
                <w:color w:val="000000"/>
                <w:kern w:val="0"/>
                <w:sz w:val="21"/>
              </w:rPr>
              <w:t>线网等级</w:t>
            </w:r>
          </w:p>
        </w:tc>
        <w:tc>
          <w:tcPr>
            <w:tcW w:w="1168" w:type="dxa"/>
            <w:shd w:val="clear" w:color="000000" w:fill="FFFFFF"/>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A</w:t>
            </w:r>
            <w:r w:rsidRPr="00B85FA7">
              <w:rPr>
                <w:rFonts w:ascii="宋体" w:hAnsi="宋体" w:cs="Times New Roman" w:hint="eastAsia"/>
                <w:color w:val="000000"/>
                <w:kern w:val="0"/>
                <w:sz w:val="21"/>
              </w:rPr>
              <w:t>类</w:t>
            </w:r>
          </w:p>
        </w:tc>
        <w:tc>
          <w:tcPr>
            <w:tcW w:w="1167" w:type="dxa"/>
            <w:shd w:val="clear" w:color="000000" w:fill="FFFFFF"/>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B</w:t>
            </w:r>
            <w:r w:rsidRPr="00B85FA7">
              <w:rPr>
                <w:rFonts w:ascii="宋体" w:hAnsi="宋体" w:cs="Times New Roman" w:hint="eastAsia"/>
                <w:color w:val="000000"/>
                <w:kern w:val="0"/>
                <w:sz w:val="21"/>
              </w:rPr>
              <w:t>类</w:t>
            </w:r>
          </w:p>
        </w:tc>
        <w:tc>
          <w:tcPr>
            <w:tcW w:w="1168" w:type="dxa"/>
            <w:shd w:val="clear" w:color="000000" w:fill="FFFFFF"/>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C</w:t>
            </w:r>
            <w:r w:rsidRPr="00B85FA7">
              <w:rPr>
                <w:rFonts w:ascii="宋体" w:hAnsi="宋体" w:cs="Times New Roman" w:hint="eastAsia"/>
                <w:color w:val="000000"/>
                <w:kern w:val="0"/>
                <w:sz w:val="21"/>
              </w:rPr>
              <w:t>类</w:t>
            </w:r>
          </w:p>
        </w:tc>
        <w:tc>
          <w:tcPr>
            <w:tcW w:w="1460" w:type="dxa"/>
            <w:shd w:val="clear" w:color="000000" w:fill="FFFFFF"/>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D</w:t>
            </w:r>
            <w:r w:rsidRPr="00B85FA7">
              <w:rPr>
                <w:rFonts w:ascii="宋体" w:hAnsi="宋体" w:cs="Times New Roman" w:hint="eastAsia"/>
                <w:color w:val="000000"/>
                <w:kern w:val="0"/>
                <w:sz w:val="21"/>
              </w:rPr>
              <w:t>类</w:t>
            </w:r>
          </w:p>
        </w:tc>
        <w:tc>
          <w:tcPr>
            <w:tcW w:w="1151" w:type="dxa"/>
            <w:shd w:val="clear" w:color="000000" w:fill="FFFFFF"/>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E</w:t>
            </w:r>
            <w:r w:rsidRPr="00B85FA7">
              <w:rPr>
                <w:rFonts w:ascii="宋体" w:hAnsi="宋体" w:cs="Times New Roman" w:hint="eastAsia"/>
                <w:color w:val="000000"/>
                <w:kern w:val="0"/>
                <w:sz w:val="21"/>
              </w:rPr>
              <w:t>类</w:t>
            </w:r>
          </w:p>
        </w:tc>
        <w:tc>
          <w:tcPr>
            <w:tcW w:w="1211" w:type="dxa"/>
            <w:shd w:val="clear" w:color="000000" w:fill="FFFFFF"/>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F</w:t>
            </w:r>
            <w:r w:rsidRPr="00B85FA7">
              <w:rPr>
                <w:rFonts w:ascii="宋体" w:hAnsi="宋体" w:cs="Times New Roman" w:hint="eastAsia"/>
                <w:color w:val="000000"/>
                <w:kern w:val="0"/>
                <w:sz w:val="21"/>
              </w:rPr>
              <w:t>类</w:t>
            </w:r>
          </w:p>
        </w:tc>
      </w:tr>
      <w:tr w:rsidR="002C72DC" w:rsidRPr="00B85FA7" w:rsidTr="00F93F0B">
        <w:trPr>
          <w:trHeight w:val="936"/>
        </w:trPr>
        <w:tc>
          <w:tcPr>
            <w:tcW w:w="1154" w:type="dxa"/>
            <w:tcBorders>
              <w:top w:val="single" w:sz="2" w:space="0" w:color="000000"/>
            </w:tcBorders>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Ⅰ级</w:t>
            </w:r>
          </w:p>
        </w:tc>
        <w:tc>
          <w:tcPr>
            <w:tcW w:w="1168"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A</w:t>
            </w:r>
          </w:p>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枢纽站</w:t>
            </w:r>
          </w:p>
        </w:tc>
        <w:tc>
          <w:tcPr>
            <w:tcW w:w="1167"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B</w:t>
            </w:r>
          </w:p>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中心站</w:t>
            </w:r>
          </w:p>
        </w:tc>
        <w:tc>
          <w:tcPr>
            <w:tcW w:w="1168"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C</w:t>
            </w:r>
          </w:p>
          <w:p w:rsidR="002C72DC" w:rsidRPr="00B85FA7" w:rsidRDefault="008411D0">
            <w:pPr>
              <w:spacing w:before="0" w:after="0" w:line="240" w:lineRule="auto"/>
              <w:ind w:firstLineChars="0" w:firstLine="0"/>
              <w:jc w:val="center"/>
              <w:rPr>
                <w:rFonts w:ascii="宋体" w:hAnsi="宋体" w:cs="宋体"/>
                <w:color w:val="000000"/>
                <w:kern w:val="0"/>
                <w:sz w:val="21"/>
              </w:rPr>
            </w:pPr>
            <w:proofErr w:type="gramStart"/>
            <w:r w:rsidRPr="00B85FA7">
              <w:rPr>
                <w:rFonts w:ascii="宋体" w:hAnsi="宋体" w:cs="宋体" w:hint="eastAsia"/>
                <w:color w:val="000000"/>
                <w:kern w:val="0"/>
                <w:sz w:val="21"/>
              </w:rPr>
              <w:t>组团站</w:t>
            </w:r>
            <w:proofErr w:type="gramEnd"/>
          </w:p>
        </w:tc>
        <w:tc>
          <w:tcPr>
            <w:tcW w:w="1460"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D</w:t>
            </w:r>
          </w:p>
          <w:p w:rsidR="002C72DC" w:rsidRPr="00B85FA7" w:rsidRDefault="00704D77">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特</w:t>
            </w:r>
            <w:r w:rsidR="008411D0" w:rsidRPr="00B85FA7">
              <w:rPr>
                <w:rFonts w:ascii="宋体" w:hAnsi="宋体" w:cs="宋体" w:hint="eastAsia"/>
                <w:color w:val="000000"/>
                <w:kern w:val="0"/>
                <w:sz w:val="21"/>
              </w:rPr>
              <w:t>殊控制站</w:t>
            </w:r>
          </w:p>
        </w:tc>
        <w:tc>
          <w:tcPr>
            <w:tcW w:w="1151"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E</w:t>
            </w:r>
          </w:p>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端头站</w:t>
            </w:r>
          </w:p>
        </w:tc>
        <w:tc>
          <w:tcPr>
            <w:tcW w:w="1211"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F</w:t>
            </w:r>
          </w:p>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一般站</w:t>
            </w:r>
          </w:p>
        </w:tc>
      </w:tr>
      <w:tr w:rsidR="002C72DC" w:rsidRPr="00B85FA7" w:rsidTr="00F93F0B">
        <w:trPr>
          <w:trHeight w:val="936"/>
        </w:trPr>
        <w:tc>
          <w:tcPr>
            <w:tcW w:w="1154"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Ⅱ级</w:t>
            </w:r>
          </w:p>
        </w:tc>
        <w:tc>
          <w:tcPr>
            <w:tcW w:w="1168"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A</w:t>
            </w:r>
          </w:p>
          <w:p w:rsidR="002C72DC" w:rsidRPr="00B85FA7" w:rsidRDefault="00F91904">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枢</w:t>
            </w:r>
            <w:r w:rsidR="008411D0" w:rsidRPr="00B85FA7">
              <w:rPr>
                <w:rFonts w:ascii="宋体" w:hAnsi="宋体" w:cs="宋体" w:hint="eastAsia"/>
                <w:color w:val="000000"/>
                <w:kern w:val="0"/>
                <w:sz w:val="21"/>
              </w:rPr>
              <w:t>纽站</w:t>
            </w:r>
          </w:p>
        </w:tc>
        <w:tc>
          <w:tcPr>
            <w:tcW w:w="1167"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B</w:t>
            </w:r>
          </w:p>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中心站</w:t>
            </w:r>
          </w:p>
        </w:tc>
        <w:tc>
          <w:tcPr>
            <w:tcW w:w="1168"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C</w:t>
            </w:r>
          </w:p>
          <w:p w:rsidR="002C72DC" w:rsidRPr="00B85FA7" w:rsidRDefault="008411D0">
            <w:pPr>
              <w:spacing w:before="0" w:after="0" w:line="240" w:lineRule="auto"/>
              <w:ind w:firstLineChars="0" w:firstLine="0"/>
              <w:jc w:val="center"/>
              <w:rPr>
                <w:rFonts w:ascii="宋体" w:hAnsi="宋体" w:cs="宋体"/>
                <w:color w:val="000000"/>
                <w:kern w:val="0"/>
                <w:sz w:val="21"/>
              </w:rPr>
            </w:pPr>
            <w:proofErr w:type="gramStart"/>
            <w:r w:rsidRPr="00B85FA7">
              <w:rPr>
                <w:rFonts w:ascii="宋体" w:hAnsi="宋体" w:cs="宋体" w:hint="eastAsia"/>
                <w:color w:val="000000"/>
                <w:kern w:val="0"/>
                <w:sz w:val="21"/>
              </w:rPr>
              <w:t>组团站</w:t>
            </w:r>
            <w:proofErr w:type="gramEnd"/>
          </w:p>
        </w:tc>
        <w:tc>
          <w:tcPr>
            <w:tcW w:w="1460"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D</w:t>
            </w:r>
          </w:p>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特殊控制站</w:t>
            </w:r>
          </w:p>
        </w:tc>
        <w:tc>
          <w:tcPr>
            <w:tcW w:w="1151" w:type="dxa"/>
            <w:shd w:val="clear" w:color="000000" w:fill="FFFFFF"/>
            <w:vAlign w:val="center"/>
          </w:tcPr>
          <w:p w:rsidR="002C72DC" w:rsidRPr="00B85FA7" w:rsidRDefault="008411D0" w:rsidP="00F91904">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E</w:t>
            </w:r>
          </w:p>
          <w:p w:rsidR="002C72DC" w:rsidRPr="00B85FA7" w:rsidRDefault="008411D0" w:rsidP="00F91904">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端头站</w:t>
            </w:r>
          </w:p>
        </w:tc>
        <w:tc>
          <w:tcPr>
            <w:tcW w:w="1211" w:type="dxa"/>
            <w:shd w:val="clear" w:color="000000" w:fill="FFFFFF"/>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F</w:t>
            </w:r>
          </w:p>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一般站</w:t>
            </w:r>
          </w:p>
        </w:tc>
      </w:tr>
    </w:tbl>
    <w:p w:rsidR="002C72DC" w:rsidRPr="00B85FA7" w:rsidRDefault="008411D0">
      <w:pPr>
        <w:spacing w:before="0" w:after="0" w:line="240" w:lineRule="auto"/>
        <w:ind w:firstLineChars="0" w:firstLine="0"/>
        <w:rPr>
          <w:b/>
          <w:kern w:val="32"/>
          <w:sz w:val="32"/>
        </w:rPr>
      </w:pPr>
      <w:bookmarkStart w:id="37" w:name="_Toc398105635"/>
      <w:r w:rsidRPr="00B85FA7">
        <w:br w:type="page"/>
      </w:r>
    </w:p>
    <w:p w:rsidR="002C72DC" w:rsidRPr="00B85FA7" w:rsidRDefault="008411D0">
      <w:pPr>
        <w:pStyle w:val="1"/>
      </w:pPr>
      <w:bookmarkStart w:id="38" w:name="_Toc435545783"/>
      <w:r w:rsidRPr="00B85FA7">
        <w:rPr>
          <w:rFonts w:hint="eastAsia"/>
        </w:rPr>
        <w:lastRenderedPageBreak/>
        <w:t>城市层面规划引导</w:t>
      </w:r>
      <w:bookmarkEnd w:id="37"/>
      <w:bookmarkEnd w:id="38"/>
    </w:p>
    <w:p w:rsidR="002C72DC" w:rsidRPr="00B85FA7" w:rsidRDefault="008411D0">
      <w:pPr>
        <w:pStyle w:val="2"/>
      </w:pPr>
      <w:bookmarkStart w:id="39" w:name="_Toc398105638"/>
      <w:bookmarkStart w:id="40" w:name="_Toc435545784"/>
      <w:r w:rsidRPr="00B85FA7">
        <w:rPr>
          <w:rFonts w:hint="eastAsia"/>
        </w:rPr>
        <w:t>城市</w:t>
      </w:r>
      <w:bookmarkEnd w:id="39"/>
      <w:r w:rsidRPr="00B85FA7">
        <w:rPr>
          <w:rFonts w:hint="eastAsia"/>
        </w:rPr>
        <w:t>功能优化</w:t>
      </w:r>
      <w:bookmarkEnd w:id="40"/>
    </w:p>
    <w:p w:rsidR="002C72DC" w:rsidRPr="00B85FA7" w:rsidRDefault="008411D0">
      <w:pPr>
        <w:pStyle w:val="31"/>
      </w:pPr>
      <w:r w:rsidRPr="00B85FA7">
        <w:rPr>
          <w:rFonts w:hint="eastAsia"/>
        </w:rPr>
        <w:t>城市中心结构：</w:t>
      </w:r>
    </w:p>
    <w:p w:rsidR="001B1F3E" w:rsidRPr="00B85FA7" w:rsidRDefault="008411D0" w:rsidP="00E174E9">
      <w:pPr>
        <w:pStyle w:val="4"/>
        <w:numPr>
          <w:ilvl w:val="3"/>
          <w:numId w:val="38"/>
        </w:numPr>
      </w:pPr>
      <w:r w:rsidRPr="00B85FA7">
        <w:rPr>
          <w:rFonts w:hint="eastAsia"/>
        </w:rPr>
        <w:t>城市各级公共服务中心的布局应与轨道交通廊道与枢纽的布局相吻合，市级商业商务服务中心和就业中心原则上应处于</w:t>
      </w:r>
      <w:r w:rsidRPr="00B85FA7">
        <w:t>2</w:t>
      </w:r>
      <w:r w:rsidRPr="00B85FA7">
        <w:rPr>
          <w:rFonts w:hint="eastAsia"/>
        </w:rPr>
        <w:t>条</w:t>
      </w:r>
      <w:r w:rsidR="00704D77" w:rsidRPr="00B85FA7">
        <w:rPr>
          <w:rFonts w:hint="eastAsia"/>
        </w:rPr>
        <w:t>及</w:t>
      </w:r>
      <w:r w:rsidRPr="00B85FA7">
        <w:rPr>
          <w:rFonts w:hint="eastAsia"/>
        </w:rPr>
        <w:t>以上轨道交通廊道集中服务的地区，鼓励以步行系统连接多个换乘枢纽，形成具有多站换乘功能的枢纽密集地区，支撑城市中心的高强度混合开发。</w:t>
      </w:r>
    </w:p>
    <w:p w:rsidR="002C72DC" w:rsidRPr="00B85FA7" w:rsidRDefault="00291A3A">
      <w:pPr>
        <w:pStyle w:val="af3"/>
        <w:ind w:firstLineChars="0" w:firstLine="0"/>
        <w:jc w:val="center"/>
      </w:pPr>
      <w:r w:rsidRPr="00B85FA7">
        <w:rPr>
          <w:noProof/>
        </w:rPr>
        <w:drawing>
          <wp:inline distT="0" distB="0" distL="0" distR="0" wp14:anchorId="12BFD1B7" wp14:editId="63DD15DF">
            <wp:extent cx="4076700" cy="4823460"/>
            <wp:effectExtent l="0" t="0" r="0" b="0"/>
            <wp:docPr id="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76700" cy="4823460"/>
                    </a:xfrm>
                    <a:prstGeom prst="rect">
                      <a:avLst/>
                    </a:prstGeom>
                    <a:noFill/>
                    <a:ln>
                      <a:noFill/>
                    </a:ln>
                  </pic:spPr>
                </pic:pic>
              </a:graphicData>
            </a:graphic>
          </wp:inline>
        </w:drawing>
      </w:r>
    </w:p>
    <w:p w:rsidR="002C72DC" w:rsidRPr="00B85FA7" w:rsidRDefault="008411D0" w:rsidP="00936382">
      <w:pPr>
        <w:pStyle w:val="a"/>
      </w:pPr>
      <w:r w:rsidRPr="00B85FA7">
        <w:rPr>
          <w:rFonts w:hint="eastAsia"/>
        </w:rPr>
        <w:t>东京</w:t>
      </w:r>
      <w:r w:rsidRPr="00B85FA7">
        <w:t>新宿</w:t>
      </w:r>
      <w:r w:rsidRPr="00B85FA7">
        <w:t>——</w:t>
      </w:r>
      <w:r w:rsidRPr="00B85FA7">
        <w:t>多站换乘的枢纽</w:t>
      </w:r>
      <w:r w:rsidRPr="00B85FA7">
        <w:rPr>
          <w:rFonts w:hint="eastAsia"/>
        </w:rPr>
        <w:t>密集</w:t>
      </w:r>
      <w:r w:rsidRPr="00B85FA7">
        <w:t>区</w:t>
      </w:r>
    </w:p>
    <w:p w:rsidR="002C72DC" w:rsidRPr="00B85FA7" w:rsidRDefault="008411D0" w:rsidP="00C600EF">
      <w:pPr>
        <w:pStyle w:val="4"/>
      </w:pPr>
      <w:r w:rsidRPr="00B85FA7">
        <w:rPr>
          <w:rFonts w:hint="eastAsia"/>
        </w:rPr>
        <w:t>在城市建成区，应结合城市既有市级商业商务服务中心和居住聚集区，规划设置轨道交通廊道与枢纽；在满足城市历史文化和风貌保护要求的前提下，</w:t>
      </w:r>
      <w:r w:rsidRPr="00B85FA7">
        <w:rPr>
          <w:rFonts w:hint="eastAsia"/>
        </w:rPr>
        <w:lastRenderedPageBreak/>
        <w:t>可结合轨道交通枢纽进行城市更新改造，营造服务于城市的就业中心和</w:t>
      </w:r>
      <w:r w:rsidR="000B5260">
        <w:rPr>
          <w:rFonts w:hint="eastAsia"/>
        </w:rPr>
        <w:t>商业</w:t>
      </w:r>
      <w:r w:rsidRPr="00B85FA7">
        <w:rPr>
          <w:rFonts w:hint="eastAsia"/>
        </w:rPr>
        <w:t>商务服务中心，提升城区品质和经济活力。</w:t>
      </w:r>
    </w:p>
    <w:p w:rsidR="002C72DC" w:rsidRPr="00B85FA7" w:rsidRDefault="008411D0" w:rsidP="00C600EF">
      <w:pPr>
        <w:pStyle w:val="4"/>
      </w:pPr>
      <w:r w:rsidRPr="00B85FA7">
        <w:rPr>
          <w:rFonts w:hint="eastAsia"/>
        </w:rPr>
        <w:t>在城市新区规划中，应依据轨道交通廊道构建城市空间和功能结构，并结合重要站点和枢纽建设新城中心，切实疏解原有城市中心发展压力，避免城市形成</w:t>
      </w:r>
      <w:proofErr w:type="gramStart"/>
      <w:r w:rsidRPr="00B85FA7">
        <w:rPr>
          <w:rFonts w:hint="eastAsia"/>
        </w:rPr>
        <w:t>单中心</w:t>
      </w:r>
      <w:proofErr w:type="gramEnd"/>
      <w:r w:rsidRPr="00B85FA7">
        <w:rPr>
          <w:rFonts w:hint="eastAsia"/>
        </w:rPr>
        <w:t>蔓延型的发展模式，平衡通勤时段轨道交通双向客流，缓解“潮汐式”交通造成的高峰小时拥堵现象。</w:t>
      </w:r>
    </w:p>
    <w:p w:rsidR="002C72DC" w:rsidRPr="00B85FA7" w:rsidRDefault="00291A3A">
      <w:pPr>
        <w:pStyle w:val="af3"/>
        <w:ind w:firstLineChars="0" w:firstLine="0"/>
        <w:jc w:val="center"/>
      </w:pPr>
      <w:r w:rsidRPr="00B85FA7">
        <w:rPr>
          <w:noProof/>
        </w:rPr>
        <w:drawing>
          <wp:inline distT="0" distB="0" distL="0" distR="0" wp14:anchorId="339CF549" wp14:editId="277AD33A">
            <wp:extent cx="2979420" cy="3550920"/>
            <wp:effectExtent l="0" t="0" r="0" b="0"/>
            <wp:docPr id="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9">
                      <a:extLst>
                        <a:ext uri="{28A0092B-C50C-407E-A947-70E740481C1C}">
                          <a14:useLocalDpi xmlns:a14="http://schemas.microsoft.com/office/drawing/2010/main" val="0"/>
                        </a:ext>
                      </a:extLst>
                    </a:blip>
                    <a:srcRect t="4994" r="11615" b="14471"/>
                    <a:stretch>
                      <a:fillRect/>
                    </a:stretch>
                  </pic:blipFill>
                  <pic:spPr bwMode="auto">
                    <a:xfrm>
                      <a:off x="0" y="0"/>
                      <a:ext cx="2979420" cy="3550920"/>
                    </a:xfrm>
                    <a:prstGeom prst="rect">
                      <a:avLst/>
                    </a:prstGeom>
                    <a:noFill/>
                    <a:ln>
                      <a:noFill/>
                    </a:ln>
                  </pic:spPr>
                </pic:pic>
              </a:graphicData>
            </a:graphic>
          </wp:inline>
        </w:drawing>
      </w:r>
    </w:p>
    <w:p w:rsidR="002C72DC" w:rsidRPr="00B85FA7" w:rsidRDefault="008411D0">
      <w:pPr>
        <w:pStyle w:val="a"/>
      </w:pPr>
      <w:r w:rsidRPr="00B85FA7">
        <w:t>以轨道线路与站点引导城市</w:t>
      </w:r>
      <w:r w:rsidRPr="00B85FA7">
        <w:rPr>
          <w:rFonts w:hint="eastAsia"/>
        </w:rPr>
        <w:t>空间和功能布局</w:t>
      </w:r>
    </w:p>
    <w:p w:rsidR="002C72DC" w:rsidRPr="00B85FA7" w:rsidRDefault="008411D0">
      <w:pPr>
        <w:pStyle w:val="31"/>
      </w:pPr>
      <w:r w:rsidRPr="00B85FA7">
        <w:rPr>
          <w:rFonts w:hint="eastAsia"/>
        </w:rPr>
        <w:t>功能混合引导：轨道站点周边提倡用地功能的混合开发，控制单一功能的大面积土地使用，保持街区活力，减少潮汐交通和</w:t>
      </w:r>
      <w:proofErr w:type="gramStart"/>
      <w:r w:rsidRPr="00B85FA7">
        <w:rPr>
          <w:rFonts w:hint="eastAsia"/>
        </w:rPr>
        <w:t>短途交通</w:t>
      </w:r>
      <w:proofErr w:type="gramEnd"/>
      <w:r w:rsidRPr="00B85FA7">
        <w:rPr>
          <w:rFonts w:hint="eastAsia"/>
        </w:rPr>
        <w:t>对机动车的依赖</w:t>
      </w:r>
      <w:r w:rsidR="004F0A43" w:rsidRPr="00B85FA7">
        <w:rPr>
          <w:rFonts w:hint="eastAsia"/>
        </w:rPr>
        <w:t>性；</w:t>
      </w:r>
      <w:r w:rsidRPr="00B85FA7">
        <w:rPr>
          <w:rFonts w:hint="eastAsia"/>
        </w:rPr>
        <w:t>居住功能要考虑不同社会阶层、不同收入家庭与不同年龄群体的混合。</w:t>
      </w:r>
    </w:p>
    <w:p w:rsidR="002C72DC" w:rsidRPr="00B85FA7" w:rsidRDefault="008411D0">
      <w:pPr>
        <w:pStyle w:val="31"/>
      </w:pPr>
      <w:r w:rsidRPr="00B85FA7">
        <w:rPr>
          <w:rFonts w:hint="eastAsia"/>
        </w:rPr>
        <w:t>建设强度控制：</w:t>
      </w:r>
    </w:p>
    <w:p w:rsidR="002C72DC" w:rsidRPr="00B85FA7" w:rsidRDefault="00F75956" w:rsidP="00E174E9">
      <w:pPr>
        <w:pStyle w:val="4"/>
        <w:numPr>
          <w:ilvl w:val="3"/>
          <w:numId w:val="39"/>
        </w:numPr>
      </w:pPr>
      <w:r w:rsidRPr="00B85FA7">
        <w:rPr>
          <w:rFonts w:hint="eastAsia"/>
        </w:rPr>
        <w:t>在城市总体规划、</w:t>
      </w:r>
      <w:r w:rsidR="008411D0" w:rsidRPr="00B85FA7">
        <w:rPr>
          <w:rFonts w:hint="eastAsia"/>
        </w:rPr>
        <w:t>控制性详细规划</w:t>
      </w:r>
      <w:r w:rsidRPr="00B85FA7">
        <w:rPr>
          <w:rFonts w:hint="eastAsia"/>
        </w:rPr>
        <w:t>和各层次城市设计</w:t>
      </w:r>
      <w:r w:rsidR="008411D0" w:rsidRPr="00B85FA7">
        <w:rPr>
          <w:rFonts w:hint="eastAsia"/>
        </w:rPr>
        <w:t>的编制过程中，应依据轨道交通的服务能力及容量按比例分配城市常住人口、控制地块建设强度</w:t>
      </w:r>
      <w:r w:rsidRPr="00B85FA7">
        <w:rPr>
          <w:rFonts w:hint="eastAsia"/>
        </w:rPr>
        <w:t>，确定城市和各片区的空间形态。</w:t>
      </w:r>
    </w:p>
    <w:p w:rsidR="00C42A90" w:rsidRPr="00B85FA7" w:rsidRDefault="008411D0" w:rsidP="00C600EF">
      <w:pPr>
        <w:pStyle w:val="4"/>
      </w:pPr>
      <w:r w:rsidRPr="00B85FA7">
        <w:rPr>
          <w:rFonts w:hint="eastAsia"/>
        </w:rPr>
        <w:t>轨道影响区内，应以高密度就业及居住为目标安排城市功能，通过设置建</w:t>
      </w:r>
      <w:r w:rsidRPr="00B85FA7">
        <w:rPr>
          <w:rFonts w:hint="eastAsia"/>
        </w:rPr>
        <w:lastRenderedPageBreak/>
        <w:t>设强度和人口密度下限，实现用地强度与公共交通容量的优化匹配</w:t>
      </w:r>
      <w:r w:rsidR="00AF0A94" w:rsidRPr="00B85FA7">
        <w:rPr>
          <w:rFonts w:hint="eastAsia"/>
        </w:rPr>
        <w:t>。</w:t>
      </w:r>
    </w:p>
    <w:p w:rsidR="002C72DC" w:rsidRPr="00B85FA7" w:rsidRDefault="008411D0" w:rsidP="00C600EF">
      <w:pPr>
        <w:pStyle w:val="4"/>
      </w:pPr>
      <w:r w:rsidRPr="00B85FA7">
        <w:rPr>
          <w:rFonts w:hint="eastAsia"/>
        </w:rPr>
        <w:t>轨道影响区以外的地区，应通过控制上限来控制建设强度，以实现城市建设强度及人口的非均等化控制</w:t>
      </w:r>
      <w:r w:rsidR="00AF0A94" w:rsidRPr="00B85FA7">
        <w:rPr>
          <w:rFonts w:hint="eastAsia"/>
        </w:rPr>
        <w:t>。</w:t>
      </w:r>
    </w:p>
    <w:p w:rsidR="002C72DC" w:rsidRPr="00B85FA7" w:rsidRDefault="00291A3A">
      <w:pPr>
        <w:pStyle w:val="af3"/>
        <w:spacing w:before="60"/>
        <w:ind w:firstLineChars="0" w:firstLine="0"/>
        <w:jc w:val="center"/>
        <w:rPr>
          <w:rFonts w:cs="Times New Roman"/>
          <w:b w:val="0"/>
          <w:bCs/>
          <w:kern w:val="0"/>
          <w:szCs w:val="20"/>
        </w:rPr>
      </w:pPr>
      <w:r w:rsidRPr="00B85FA7">
        <w:rPr>
          <w:rFonts w:cs="Times New Roman"/>
          <w:bCs/>
          <w:noProof/>
          <w:kern w:val="0"/>
          <w:szCs w:val="20"/>
        </w:rPr>
        <w:drawing>
          <wp:inline distT="0" distB="0" distL="0" distR="0" wp14:anchorId="2E062C84" wp14:editId="3DE692A1">
            <wp:extent cx="4655820" cy="3383280"/>
            <wp:effectExtent l="0" t="0" r="0" b="7620"/>
            <wp:docPr id="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20">
                      <a:extLst>
                        <a:ext uri="{28A0092B-C50C-407E-A947-70E740481C1C}">
                          <a14:useLocalDpi xmlns:a14="http://schemas.microsoft.com/office/drawing/2010/main" val="0"/>
                        </a:ext>
                      </a:extLst>
                    </a:blip>
                    <a:srcRect t="15475"/>
                    <a:stretch>
                      <a:fillRect/>
                    </a:stretch>
                  </pic:blipFill>
                  <pic:spPr bwMode="auto">
                    <a:xfrm>
                      <a:off x="0" y="0"/>
                      <a:ext cx="4655820" cy="3383280"/>
                    </a:xfrm>
                    <a:prstGeom prst="rect">
                      <a:avLst/>
                    </a:prstGeom>
                    <a:noFill/>
                    <a:ln>
                      <a:noFill/>
                    </a:ln>
                  </pic:spPr>
                </pic:pic>
              </a:graphicData>
            </a:graphic>
          </wp:inline>
        </w:drawing>
      </w:r>
    </w:p>
    <w:p w:rsidR="002C72DC" w:rsidRPr="00B85FA7" w:rsidRDefault="00E05E5E">
      <w:pPr>
        <w:pStyle w:val="af3"/>
        <w:spacing w:before="60"/>
        <w:ind w:firstLineChars="0" w:firstLine="0"/>
        <w:jc w:val="center"/>
        <w:rPr>
          <w:rFonts w:cs="Times New Roman"/>
          <w:b w:val="0"/>
          <w:bCs/>
          <w:kern w:val="0"/>
          <w:szCs w:val="20"/>
        </w:rPr>
      </w:pPr>
      <w:r w:rsidRPr="00B85FA7">
        <w:rPr>
          <w:rFonts w:ascii="Calibri" w:hAnsi="Calibri" w:cs="Times New Roman" w:hint="eastAsia"/>
          <w:b w:val="0"/>
          <w:noProof/>
          <w:sz w:val="21"/>
          <w:szCs w:val="22"/>
        </w:rPr>
        <w:drawing>
          <wp:inline distT="0" distB="0" distL="0" distR="0" wp14:anchorId="5193F9B0" wp14:editId="34DEAE8E">
            <wp:extent cx="5247005" cy="284353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轨道沿线集约开发.jpg"/>
                    <pic:cNvPicPr/>
                  </pic:nvPicPr>
                  <pic:blipFill>
                    <a:blip r:embed="rId21">
                      <a:extLst>
                        <a:ext uri="{28A0092B-C50C-407E-A947-70E740481C1C}">
                          <a14:useLocalDpi xmlns:a14="http://schemas.microsoft.com/office/drawing/2010/main" val="0"/>
                        </a:ext>
                      </a:extLst>
                    </a:blip>
                    <a:stretch>
                      <a:fillRect/>
                    </a:stretch>
                  </pic:blipFill>
                  <pic:spPr>
                    <a:xfrm>
                      <a:off x="0" y="0"/>
                      <a:ext cx="5247005" cy="2843530"/>
                    </a:xfrm>
                    <a:prstGeom prst="rect">
                      <a:avLst/>
                    </a:prstGeom>
                  </pic:spPr>
                </pic:pic>
              </a:graphicData>
            </a:graphic>
          </wp:inline>
        </w:drawing>
      </w:r>
    </w:p>
    <w:p w:rsidR="002C72DC" w:rsidRPr="00B85FA7" w:rsidRDefault="008411D0">
      <w:pPr>
        <w:pStyle w:val="a"/>
      </w:pPr>
      <w:r w:rsidRPr="00B85FA7">
        <w:rPr>
          <w:rFonts w:hint="eastAsia"/>
        </w:rPr>
        <w:t>实现城市人口与就业岗位沿公交廊道集约布局</w:t>
      </w:r>
    </w:p>
    <w:p w:rsidR="002C72DC" w:rsidRPr="00B85FA7" w:rsidRDefault="008411D0" w:rsidP="00C600EF">
      <w:pPr>
        <w:pStyle w:val="4"/>
      </w:pPr>
      <w:r w:rsidRPr="00B85FA7">
        <w:rPr>
          <w:rFonts w:hint="eastAsia"/>
        </w:rPr>
        <w:t>通过</w:t>
      </w:r>
      <w:r w:rsidR="00AF0A94" w:rsidRPr="00B85FA7">
        <w:rPr>
          <w:rFonts w:hint="eastAsia"/>
        </w:rPr>
        <w:t>上述</w:t>
      </w:r>
      <w:r w:rsidRPr="00B85FA7">
        <w:rPr>
          <w:rFonts w:hint="eastAsia"/>
        </w:rPr>
        <w:t>建设强度及人口的非均等化控制，力争</w:t>
      </w:r>
      <w:r w:rsidRPr="00B85FA7">
        <w:t>I</w:t>
      </w:r>
      <w:r w:rsidRPr="00B85FA7">
        <w:rPr>
          <w:rFonts w:hint="eastAsia"/>
        </w:rPr>
        <w:t>级</w:t>
      </w:r>
      <w:r w:rsidR="000B5260">
        <w:rPr>
          <w:rFonts w:hint="eastAsia"/>
        </w:rPr>
        <w:t>线网</w:t>
      </w:r>
      <w:r w:rsidRPr="00B85FA7">
        <w:rPr>
          <w:rFonts w:hint="eastAsia"/>
        </w:rPr>
        <w:t>城市在城市新建</w:t>
      </w:r>
      <w:r w:rsidRPr="00B85FA7">
        <w:rPr>
          <w:rFonts w:hint="eastAsia"/>
        </w:rPr>
        <w:lastRenderedPageBreak/>
        <w:t>地区实现</w:t>
      </w:r>
      <w:r w:rsidRPr="00B85FA7">
        <w:t>50%</w:t>
      </w:r>
      <w:r w:rsidRPr="00B85FA7">
        <w:rPr>
          <w:rFonts w:hint="eastAsia"/>
        </w:rPr>
        <w:t>以上的城市人口和通勤交通需求分布在轨道影响区范围内。</w:t>
      </w:r>
    </w:p>
    <w:p w:rsidR="002C72DC" w:rsidRPr="00B85FA7" w:rsidRDefault="008411D0" w:rsidP="00C0090F">
      <w:pPr>
        <w:pStyle w:val="31"/>
      </w:pPr>
      <w:r w:rsidRPr="00B85FA7">
        <w:rPr>
          <w:rFonts w:hint="eastAsia"/>
        </w:rPr>
        <w:t>通勤距离控制：通过与轨道密切结合的多中心城市结构的构建，以及土地混合使用模式的推广，确保城市轨道交通通勤时间在合理范围内</w:t>
      </w:r>
      <w:r w:rsidR="00AF0A94" w:rsidRPr="00B85FA7">
        <w:rPr>
          <w:rFonts w:hint="eastAsia"/>
        </w:rPr>
        <w:t>。</w:t>
      </w:r>
      <w:r w:rsidRPr="00B85FA7">
        <w:rPr>
          <w:rFonts w:hint="eastAsia"/>
        </w:rPr>
        <w:t>城市外围组团与中心组团之间，或相邻外围组团之间，轨道交通出行时间宜控制在</w:t>
      </w:r>
      <w:r w:rsidRPr="00B85FA7">
        <w:t>30 min</w:t>
      </w:r>
      <w:r w:rsidRPr="00B85FA7">
        <w:rPr>
          <w:rFonts w:hint="eastAsia"/>
        </w:rPr>
        <w:t>以内。</w:t>
      </w:r>
    </w:p>
    <w:p w:rsidR="002C72DC" w:rsidRPr="00B85FA7" w:rsidRDefault="008411D0" w:rsidP="00D23FDD">
      <w:pPr>
        <w:pStyle w:val="2"/>
        <w:keepNext w:val="0"/>
        <w:keepLines w:val="0"/>
        <w:ind w:left="-240" w:firstLine="482"/>
      </w:pPr>
      <w:bookmarkStart w:id="41" w:name="_Toc435545785"/>
      <w:bookmarkStart w:id="42" w:name="_Toc398105639"/>
      <w:r w:rsidRPr="00B85FA7">
        <w:rPr>
          <w:rFonts w:hint="eastAsia"/>
        </w:rPr>
        <w:t>城市交通系统优化</w:t>
      </w:r>
      <w:bookmarkEnd w:id="41"/>
    </w:p>
    <w:p w:rsidR="002C72DC" w:rsidRPr="00B85FA7" w:rsidRDefault="008411D0" w:rsidP="00D23FDD">
      <w:pPr>
        <w:pStyle w:val="31"/>
      </w:pPr>
      <w:r w:rsidRPr="00B85FA7">
        <w:rPr>
          <w:rFonts w:hint="eastAsia"/>
        </w:rPr>
        <w:t>城市轨道线路应从集中的商务区、商业区及居住区的中心穿过，</w:t>
      </w:r>
      <w:proofErr w:type="gramStart"/>
      <w:r w:rsidRPr="00B85FA7">
        <w:rPr>
          <w:rFonts w:hint="eastAsia"/>
        </w:rPr>
        <w:t>沿就业</w:t>
      </w:r>
      <w:proofErr w:type="gramEnd"/>
      <w:r w:rsidRPr="00B85FA7">
        <w:rPr>
          <w:rFonts w:hint="eastAsia"/>
        </w:rPr>
        <w:t>岗位与居住功能集中的道路布设，提高站点服务覆盖率。</w:t>
      </w:r>
    </w:p>
    <w:p w:rsidR="002C72DC" w:rsidRPr="00B85FA7" w:rsidRDefault="008411D0" w:rsidP="00D23FDD">
      <w:pPr>
        <w:pStyle w:val="31"/>
      </w:pPr>
      <w:r w:rsidRPr="00B85FA7">
        <w:rPr>
          <w:rFonts w:hint="eastAsia"/>
        </w:rPr>
        <w:t>轨道廊道应避免与高速公路、城市快速路及交通性主干路重合，有利于优化步行环境，减少与快速通过性机动车交通的相互干扰。</w:t>
      </w:r>
    </w:p>
    <w:p w:rsidR="004C470F" w:rsidRPr="00B85FA7" w:rsidRDefault="004C470F" w:rsidP="00D23FDD">
      <w:pPr>
        <w:pStyle w:val="af3"/>
        <w:ind w:firstLineChars="0" w:firstLine="0"/>
        <w:jc w:val="center"/>
      </w:pPr>
      <w:r w:rsidRPr="00B85FA7">
        <w:rPr>
          <w:rFonts w:hint="eastAsia"/>
          <w:noProof/>
        </w:rPr>
        <w:drawing>
          <wp:inline distT="0" distB="0" distL="0" distR="0" wp14:anchorId="5DDB3A5A" wp14:editId="3E5A7473">
            <wp:extent cx="3578443" cy="2348097"/>
            <wp:effectExtent l="0" t="0" r="317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oad and sub.jpg"/>
                    <pic:cNvPicPr/>
                  </pic:nvPicPr>
                  <pic:blipFill>
                    <a:blip r:embed="rId22">
                      <a:extLst>
                        <a:ext uri="{28A0092B-C50C-407E-A947-70E740481C1C}">
                          <a14:useLocalDpi xmlns:a14="http://schemas.microsoft.com/office/drawing/2010/main" val="0"/>
                        </a:ext>
                      </a:extLst>
                    </a:blip>
                    <a:stretch>
                      <a:fillRect/>
                    </a:stretch>
                  </pic:blipFill>
                  <pic:spPr>
                    <a:xfrm>
                      <a:off x="0" y="0"/>
                      <a:ext cx="3611057" cy="2369498"/>
                    </a:xfrm>
                    <a:prstGeom prst="rect">
                      <a:avLst/>
                    </a:prstGeom>
                  </pic:spPr>
                </pic:pic>
              </a:graphicData>
            </a:graphic>
          </wp:inline>
        </w:drawing>
      </w:r>
    </w:p>
    <w:p w:rsidR="002C72DC" w:rsidRPr="00B85FA7" w:rsidRDefault="008411D0" w:rsidP="004C470F">
      <w:pPr>
        <w:pStyle w:val="a"/>
      </w:pPr>
      <w:r w:rsidRPr="00B85FA7">
        <w:rPr>
          <w:rFonts w:hint="eastAsia"/>
        </w:rPr>
        <w:t>轨道廊道应避免与交通干路重合</w:t>
      </w:r>
      <w:r w:rsidRPr="00B85FA7">
        <w:t>，应</w:t>
      </w:r>
      <w:proofErr w:type="gramStart"/>
      <w:r w:rsidRPr="00B85FA7">
        <w:rPr>
          <w:rFonts w:hint="eastAsia"/>
        </w:rPr>
        <w:t>沿生活</w:t>
      </w:r>
      <w:proofErr w:type="gramEnd"/>
      <w:r w:rsidRPr="00B85FA7">
        <w:rPr>
          <w:rFonts w:hint="eastAsia"/>
        </w:rPr>
        <w:t>性道路布设</w:t>
      </w:r>
    </w:p>
    <w:p w:rsidR="00C42A90" w:rsidRPr="00B85FA7" w:rsidRDefault="008411D0" w:rsidP="00D23FDD">
      <w:pPr>
        <w:pStyle w:val="31"/>
        <w:rPr>
          <w:b/>
        </w:rPr>
      </w:pPr>
      <w:r w:rsidRPr="00B85FA7">
        <w:rPr>
          <w:rFonts w:hint="eastAsia"/>
        </w:rPr>
        <w:t>城市交通出行结构：</w:t>
      </w:r>
    </w:p>
    <w:p w:rsidR="00C42A90" w:rsidRPr="00B85FA7" w:rsidRDefault="008411D0" w:rsidP="00E174E9">
      <w:pPr>
        <w:pStyle w:val="4"/>
        <w:numPr>
          <w:ilvl w:val="3"/>
          <w:numId w:val="40"/>
        </w:numPr>
        <w:rPr>
          <w:b/>
        </w:rPr>
      </w:pPr>
      <w:r w:rsidRPr="00B85FA7">
        <w:rPr>
          <w:rFonts w:hint="eastAsia"/>
        </w:rPr>
        <w:t>应通过推行公交优先规划与政策，建设与轨道交通相互衔接的多层次、多元化的城市公共交通体系，优化综合交通换乘系统，保证公交出行</w:t>
      </w:r>
      <w:r w:rsidRPr="00B85FA7">
        <w:t>的</w:t>
      </w:r>
      <w:r w:rsidRPr="00B85FA7">
        <w:rPr>
          <w:rFonts w:hint="eastAsia"/>
        </w:rPr>
        <w:t>多样性和换乘的方便性</w:t>
      </w:r>
      <w:r w:rsidR="000733A0" w:rsidRPr="00B85FA7">
        <w:rPr>
          <w:rFonts w:hint="eastAsia"/>
        </w:rPr>
        <w:t>。</w:t>
      </w:r>
    </w:p>
    <w:p w:rsidR="002C72DC" w:rsidRPr="00B85FA7" w:rsidRDefault="008411D0" w:rsidP="00C600EF">
      <w:pPr>
        <w:pStyle w:val="4"/>
        <w:rPr>
          <w:b/>
        </w:rPr>
      </w:pPr>
      <w:r w:rsidRPr="00B85FA7">
        <w:rPr>
          <w:rFonts w:hint="eastAsia"/>
        </w:rPr>
        <w:t>在</w:t>
      </w:r>
      <w:r w:rsidRPr="00B85FA7">
        <w:t>I</w:t>
      </w:r>
      <w:r w:rsidRPr="00B85FA7">
        <w:rPr>
          <w:rFonts w:hint="eastAsia"/>
        </w:rPr>
        <w:t>级线网城市的中心区，应实现包括公共交通、步行和自行车交通在内的绿色交通通勤出行</w:t>
      </w:r>
      <w:r w:rsidR="00C42A90" w:rsidRPr="00B85FA7">
        <w:rPr>
          <w:rFonts w:hint="eastAsia"/>
        </w:rPr>
        <w:t>比例</w:t>
      </w:r>
      <w:r w:rsidRPr="00B85FA7">
        <w:rPr>
          <w:rFonts w:hint="eastAsia"/>
        </w:rPr>
        <w:t>达到</w:t>
      </w:r>
      <w:r w:rsidRPr="00B85FA7">
        <w:t>70%</w:t>
      </w:r>
      <w:r w:rsidRPr="00B85FA7">
        <w:rPr>
          <w:rFonts w:hint="eastAsia"/>
        </w:rPr>
        <w:t>以上</w:t>
      </w:r>
      <w:r w:rsidR="00C42A90" w:rsidRPr="00B85FA7">
        <w:rPr>
          <w:rFonts w:hint="eastAsia"/>
        </w:rPr>
        <w:t>，在</w:t>
      </w:r>
      <w:r w:rsidRPr="00B85FA7">
        <w:rPr>
          <w:rFonts w:hint="eastAsia"/>
        </w:rPr>
        <w:t>轨道影响区内绿色交通出行</w:t>
      </w:r>
      <w:r w:rsidR="00C42A90" w:rsidRPr="00B85FA7">
        <w:rPr>
          <w:rFonts w:hint="eastAsia"/>
        </w:rPr>
        <w:t>比例</w:t>
      </w:r>
      <w:r w:rsidRPr="00B85FA7">
        <w:rPr>
          <w:rFonts w:hint="eastAsia"/>
        </w:rPr>
        <w:t>应达到</w:t>
      </w:r>
      <w:r w:rsidRPr="00B85FA7">
        <w:t>80%</w:t>
      </w:r>
      <w:r w:rsidRPr="00B85FA7">
        <w:rPr>
          <w:rFonts w:hint="eastAsia"/>
        </w:rPr>
        <w:t>以上。</w:t>
      </w:r>
      <w:bookmarkStart w:id="43" w:name="_Toc398105644"/>
    </w:p>
    <w:p w:rsidR="008351B4" w:rsidRPr="00B85FA7" w:rsidRDefault="008411D0" w:rsidP="00D23FDD">
      <w:pPr>
        <w:pStyle w:val="31"/>
      </w:pPr>
      <w:bookmarkStart w:id="44" w:name="_Toc398105643"/>
      <w:bookmarkEnd w:id="43"/>
      <w:r w:rsidRPr="00B85FA7">
        <w:rPr>
          <w:rFonts w:hint="eastAsia"/>
        </w:rPr>
        <w:lastRenderedPageBreak/>
        <w:t>城市客运枢纽的轨道衔接</w:t>
      </w:r>
      <w:bookmarkEnd w:id="44"/>
      <w:r w:rsidRPr="00B85FA7">
        <w:rPr>
          <w:rFonts w:hint="eastAsia"/>
        </w:rPr>
        <w:t>：</w:t>
      </w:r>
    </w:p>
    <w:p w:rsidR="00E15355" w:rsidRPr="00B85FA7" w:rsidRDefault="008411D0" w:rsidP="00E174E9">
      <w:pPr>
        <w:pStyle w:val="4"/>
        <w:numPr>
          <w:ilvl w:val="3"/>
          <w:numId w:val="41"/>
        </w:numPr>
      </w:pPr>
      <w:r w:rsidRPr="00B85FA7">
        <w:rPr>
          <w:rFonts w:hint="eastAsia"/>
        </w:rPr>
        <w:t>城市大运量对外客运枢纽，如铁路客运站、长途汽车站等原则上应布局于轨道站点核心区范围内</w:t>
      </w:r>
      <w:r w:rsidR="002F6C3E" w:rsidRPr="00B85FA7">
        <w:rPr>
          <w:rFonts w:hint="eastAsia"/>
        </w:rPr>
        <w:t>。</w:t>
      </w:r>
    </w:p>
    <w:p w:rsidR="00E15355" w:rsidRPr="00B85FA7" w:rsidRDefault="008411D0" w:rsidP="00C600EF">
      <w:pPr>
        <w:pStyle w:val="4"/>
      </w:pPr>
      <w:r w:rsidRPr="00B85FA7">
        <w:rPr>
          <w:rFonts w:hint="eastAsia"/>
        </w:rPr>
        <w:t>客运枢纽与轨道站点宜一体化建设、实现各类公共交通功能在枢纽内部的无缝换乘</w:t>
      </w:r>
      <w:r w:rsidR="002F6C3E" w:rsidRPr="00B85FA7">
        <w:rPr>
          <w:rFonts w:hint="eastAsia"/>
        </w:rPr>
        <w:t>。</w:t>
      </w:r>
    </w:p>
    <w:p w:rsidR="002C72DC" w:rsidRPr="00B85FA7" w:rsidRDefault="008411D0" w:rsidP="00C600EF">
      <w:pPr>
        <w:pStyle w:val="4"/>
      </w:pPr>
      <w:r w:rsidRPr="00B85FA7">
        <w:rPr>
          <w:rFonts w:hint="eastAsia"/>
        </w:rPr>
        <w:t>轨道站点能够提供的运量</w:t>
      </w:r>
      <w:proofErr w:type="gramStart"/>
      <w:r w:rsidRPr="00B85FA7">
        <w:rPr>
          <w:rFonts w:hint="eastAsia"/>
        </w:rPr>
        <w:t>宜达到</w:t>
      </w:r>
      <w:proofErr w:type="gramEnd"/>
      <w:r w:rsidRPr="00B85FA7">
        <w:rPr>
          <w:rFonts w:hint="eastAsia"/>
        </w:rPr>
        <w:t>其接驳的对外交通枢纽客运发送量的</w:t>
      </w:r>
      <w:r w:rsidRPr="00B85FA7">
        <w:t>50%</w:t>
      </w:r>
      <w:r w:rsidRPr="00B85FA7">
        <w:rPr>
          <w:rFonts w:hint="eastAsia"/>
        </w:rPr>
        <w:t>以上。</w:t>
      </w:r>
    </w:p>
    <w:p w:rsidR="002C72DC" w:rsidRPr="00B85FA7" w:rsidRDefault="008411D0" w:rsidP="00D23FDD">
      <w:pPr>
        <w:pStyle w:val="2"/>
        <w:keepNext w:val="0"/>
        <w:keepLines w:val="0"/>
        <w:ind w:left="-240" w:firstLine="482"/>
      </w:pPr>
      <w:bookmarkStart w:id="45" w:name="_Toc435545786"/>
      <w:r w:rsidRPr="00B85FA7">
        <w:rPr>
          <w:rFonts w:hint="eastAsia"/>
        </w:rPr>
        <w:t>公交</w:t>
      </w:r>
      <w:r w:rsidR="003B19B9" w:rsidRPr="00B85FA7">
        <w:rPr>
          <w:rFonts w:hint="eastAsia"/>
        </w:rPr>
        <w:t>优</w:t>
      </w:r>
      <w:r w:rsidRPr="00B85FA7">
        <w:rPr>
          <w:rFonts w:hint="eastAsia"/>
        </w:rPr>
        <w:t>先</w:t>
      </w:r>
      <w:r w:rsidR="003B19B9" w:rsidRPr="00B85FA7">
        <w:rPr>
          <w:rFonts w:hint="eastAsia"/>
        </w:rPr>
        <w:t>引导</w:t>
      </w:r>
      <w:bookmarkEnd w:id="42"/>
      <w:r w:rsidRPr="00B85FA7">
        <w:rPr>
          <w:rFonts w:hint="eastAsia"/>
        </w:rPr>
        <w:t>政策</w:t>
      </w:r>
      <w:bookmarkEnd w:id="45"/>
    </w:p>
    <w:p w:rsidR="002C72DC" w:rsidRPr="00B85FA7" w:rsidRDefault="003B19B9" w:rsidP="00D23FDD">
      <w:pPr>
        <w:pStyle w:val="31"/>
      </w:pPr>
      <w:r w:rsidRPr="00B85FA7">
        <w:rPr>
          <w:rFonts w:hint="eastAsia"/>
        </w:rPr>
        <w:t>轨道影响区应通过城市功能和交通设施的配合，推行公交优先引导</w:t>
      </w:r>
      <w:r w:rsidR="008411D0" w:rsidRPr="00B85FA7">
        <w:rPr>
          <w:rFonts w:hint="eastAsia"/>
        </w:rPr>
        <w:t>政策。</w:t>
      </w:r>
    </w:p>
    <w:p w:rsidR="002C72DC" w:rsidRPr="00B85FA7" w:rsidRDefault="008411D0" w:rsidP="00D23FDD">
      <w:pPr>
        <w:pStyle w:val="31"/>
      </w:pPr>
      <w:r w:rsidRPr="00B85FA7">
        <w:rPr>
          <w:rFonts w:hint="eastAsia"/>
        </w:rPr>
        <w:t>轨道影响区应以居住用地、公共管理与公共服务用地和商业服务业设施用地为主，不宜包括物流仓储用地、货运交通用地、大型市政公用设施用地及非建设用地。轨道影响区内的建设应以混合型城市功能为主。</w:t>
      </w:r>
    </w:p>
    <w:p w:rsidR="002C72DC" w:rsidRPr="00B85FA7" w:rsidRDefault="008411D0" w:rsidP="00D23FDD">
      <w:pPr>
        <w:pStyle w:val="31"/>
      </w:pPr>
      <w:r w:rsidRPr="00B85FA7">
        <w:rPr>
          <w:rFonts w:hint="eastAsia"/>
        </w:rPr>
        <w:t>除历史街区等需进行特殊保护的地区外，轨道影响区原则上应进行容积率下限控制</w:t>
      </w:r>
      <w:r w:rsidR="002F6C3E" w:rsidRPr="00B85FA7">
        <w:rPr>
          <w:rFonts w:hint="eastAsia"/>
        </w:rPr>
        <w:t>；</w:t>
      </w:r>
      <w:r w:rsidRPr="00B85FA7">
        <w:rPr>
          <w:rFonts w:hint="eastAsia"/>
        </w:rPr>
        <w:t>位于轨道影响区以外的一般城市地区，应进行容积率上限控制，且其容积率上限取值不应高于轨道影响区容积率下限值的</w:t>
      </w:r>
      <w:r w:rsidRPr="00B85FA7">
        <w:t>60%</w:t>
      </w:r>
      <w:r w:rsidRPr="00B85FA7">
        <w:rPr>
          <w:rFonts w:hint="eastAsia"/>
        </w:rPr>
        <w:t>。城市综合体类开发建设选址，应位于轨道影响区内。</w:t>
      </w:r>
    </w:p>
    <w:p w:rsidR="002C72DC" w:rsidRPr="00B85FA7" w:rsidRDefault="008411D0" w:rsidP="00D23FDD">
      <w:pPr>
        <w:pStyle w:val="31"/>
      </w:pPr>
      <w:r w:rsidRPr="00B85FA7">
        <w:rPr>
          <w:rFonts w:hint="eastAsia"/>
        </w:rPr>
        <w:t>鼓励在轨道影响区内进行地下空间的开发利用，鼓励轨道地下空间与周边物业衔接。</w:t>
      </w:r>
    </w:p>
    <w:p w:rsidR="00BD71C1" w:rsidRPr="00B85FA7" w:rsidRDefault="008411D0" w:rsidP="00D23FDD">
      <w:pPr>
        <w:pStyle w:val="31"/>
      </w:pPr>
      <w:r w:rsidRPr="00B85FA7">
        <w:rPr>
          <w:rFonts w:hint="eastAsia"/>
        </w:rPr>
        <w:t>轨道</w:t>
      </w:r>
      <w:proofErr w:type="gramStart"/>
      <w:r w:rsidRPr="00B85FA7">
        <w:rPr>
          <w:rFonts w:hint="eastAsia"/>
        </w:rPr>
        <w:t>影响区宜采用</w:t>
      </w:r>
      <w:proofErr w:type="gramEnd"/>
      <w:r w:rsidRPr="00B85FA7">
        <w:rPr>
          <w:rFonts w:hint="eastAsia"/>
        </w:rPr>
        <w:t>小街坊、密路网的道路规划形态。</w:t>
      </w:r>
    </w:p>
    <w:p w:rsidR="00BD71C1" w:rsidRPr="00B85FA7" w:rsidRDefault="008411D0" w:rsidP="00E174E9">
      <w:pPr>
        <w:pStyle w:val="4"/>
        <w:numPr>
          <w:ilvl w:val="3"/>
          <w:numId w:val="42"/>
        </w:numPr>
      </w:pPr>
      <w:r w:rsidRPr="00B85FA7">
        <w:rPr>
          <w:rFonts w:hint="eastAsia"/>
        </w:rPr>
        <w:t>支路网密度原则上应达到</w:t>
      </w:r>
      <w:r w:rsidRPr="00B85FA7">
        <w:rPr>
          <w:rFonts w:hint="eastAsia"/>
        </w:rPr>
        <w:t>6</w:t>
      </w:r>
      <w:r w:rsidRPr="00B85FA7">
        <w:t>~</w:t>
      </w:r>
      <w:r w:rsidRPr="00B85FA7">
        <w:rPr>
          <w:rFonts w:hint="eastAsia"/>
        </w:rPr>
        <w:t>8 km/km</w:t>
      </w:r>
      <w:r w:rsidRPr="00B85FA7">
        <w:rPr>
          <w:vertAlign w:val="superscript"/>
        </w:rPr>
        <w:t>2</w:t>
      </w:r>
      <w:r w:rsidR="00F91904" w:rsidRPr="00B85FA7">
        <w:rPr>
          <w:rFonts w:hint="eastAsia"/>
        </w:rPr>
        <w:t>以上</w:t>
      </w:r>
      <w:r w:rsidRPr="00B85FA7">
        <w:rPr>
          <w:rFonts w:hint="eastAsia"/>
        </w:rPr>
        <w:t>，支路断面宽度不宜</w:t>
      </w:r>
      <w:r w:rsidR="00E15355" w:rsidRPr="00B85FA7">
        <w:rPr>
          <w:rFonts w:hint="eastAsia"/>
        </w:rPr>
        <w:t>大于</w:t>
      </w:r>
      <w:r w:rsidRPr="00B85FA7">
        <w:rPr>
          <w:rFonts w:hint="eastAsia"/>
        </w:rPr>
        <w:t>20 m</w:t>
      </w:r>
      <w:r w:rsidRPr="00B85FA7">
        <w:rPr>
          <w:rFonts w:hint="eastAsia"/>
        </w:rPr>
        <w:t>，对于超过</w:t>
      </w:r>
      <w:r w:rsidRPr="00B85FA7">
        <w:rPr>
          <w:rFonts w:hint="eastAsia"/>
        </w:rPr>
        <w:t>45 m</w:t>
      </w:r>
      <w:r w:rsidRPr="00B85FA7">
        <w:rPr>
          <w:rFonts w:hint="eastAsia"/>
        </w:rPr>
        <w:t>宽的道路，宜分解为两条单向道路来分流机动车交通。</w:t>
      </w:r>
    </w:p>
    <w:p w:rsidR="002C72DC" w:rsidRPr="00B85FA7" w:rsidRDefault="008411D0" w:rsidP="00C600EF">
      <w:pPr>
        <w:pStyle w:val="4"/>
      </w:pPr>
      <w:r w:rsidRPr="00B85FA7">
        <w:rPr>
          <w:rFonts w:hint="eastAsia"/>
        </w:rPr>
        <w:t>轨道影响区位于城市中心时，街坊尺度宜控制在</w:t>
      </w:r>
      <w:r w:rsidRPr="00B85FA7">
        <w:t>120 m</w:t>
      </w:r>
      <w:r w:rsidRPr="00B85FA7">
        <w:rPr>
          <w:rFonts w:hint="eastAsia"/>
        </w:rPr>
        <w:t>以内，现状复杂难以进行更新改造的地区，应通过打通公共步行通道缩小地块尺度；轨道影响区位于城市外围时，街坊宽度宜控制在</w:t>
      </w:r>
      <w:r w:rsidRPr="00B85FA7">
        <w:t>200 m</w:t>
      </w:r>
      <w:r w:rsidRPr="00B85FA7">
        <w:rPr>
          <w:rFonts w:hint="eastAsia"/>
        </w:rPr>
        <w:t>以内。</w:t>
      </w:r>
    </w:p>
    <w:p w:rsidR="002C72DC" w:rsidRPr="00B85FA7" w:rsidRDefault="008411D0" w:rsidP="00D23FDD">
      <w:pPr>
        <w:pStyle w:val="31"/>
      </w:pPr>
      <w:r w:rsidRPr="00B85FA7">
        <w:rPr>
          <w:rFonts w:hint="eastAsia"/>
        </w:rPr>
        <w:t>轨道影响区应实行交通需求管理政策。轨道影响区内建筑物小汽车停车配建标准，原则上应对</w:t>
      </w:r>
      <w:proofErr w:type="gramStart"/>
      <w:r w:rsidRPr="00B85FA7">
        <w:rPr>
          <w:rFonts w:hint="eastAsia"/>
        </w:rPr>
        <w:t>原配建标准</w:t>
      </w:r>
      <w:proofErr w:type="gramEnd"/>
      <w:r w:rsidRPr="00B85FA7">
        <w:rPr>
          <w:rFonts w:hint="eastAsia"/>
        </w:rPr>
        <w:t>作</w:t>
      </w:r>
      <w:r w:rsidRPr="00B85FA7">
        <w:t>15%~20%</w:t>
      </w:r>
      <w:r w:rsidRPr="00B85FA7">
        <w:rPr>
          <w:rFonts w:hint="eastAsia"/>
        </w:rPr>
        <w:t>的折减，容积率越高，</w:t>
      </w:r>
      <w:proofErr w:type="gramStart"/>
      <w:r w:rsidRPr="00B85FA7">
        <w:rPr>
          <w:rFonts w:hint="eastAsia"/>
        </w:rPr>
        <w:t>折减系数</w:t>
      </w:r>
      <w:proofErr w:type="gramEnd"/>
      <w:r w:rsidRPr="00B85FA7">
        <w:rPr>
          <w:rFonts w:hint="eastAsia"/>
        </w:rPr>
        <w:lastRenderedPageBreak/>
        <w:t>越大。</w:t>
      </w:r>
    </w:p>
    <w:p w:rsidR="002C72DC" w:rsidRPr="00B85FA7" w:rsidRDefault="008411D0" w:rsidP="00D23FDD">
      <w:pPr>
        <w:pStyle w:val="31"/>
      </w:pPr>
      <w:r w:rsidRPr="00B85FA7">
        <w:rPr>
          <w:rFonts w:hint="eastAsia"/>
        </w:rPr>
        <w:t>轨道影响区应优先保障步行、自行车交通的空间品质。在枢纽站、中心站周边机动车与步行交通较集中地区，宜充分利用地下、地上二层空间修建公共步行系统。条件允许的城市，轨道</w:t>
      </w:r>
      <w:proofErr w:type="gramStart"/>
      <w:r w:rsidRPr="00B85FA7">
        <w:rPr>
          <w:rFonts w:hint="eastAsia"/>
        </w:rPr>
        <w:t>影响区宜控制</w:t>
      </w:r>
      <w:proofErr w:type="gramEnd"/>
      <w:r w:rsidRPr="00B85FA7">
        <w:rPr>
          <w:rFonts w:hint="eastAsia"/>
        </w:rPr>
        <w:t>为机动车限速</w:t>
      </w:r>
      <w:r w:rsidRPr="00B85FA7">
        <w:t>30 km/h</w:t>
      </w:r>
      <w:r w:rsidRPr="00B85FA7">
        <w:rPr>
          <w:rFonts w:hint="eastAsia"/>
        </w:rPr>
        <w:t>以下的慢速街区</w:t>
      </w:r>
      <w:r w:rsidR="007023C8" w:rsidRPr="00B85FA7">
        <w:rPr>
          <w:rFonts w:hint="eastAsia"/>
        </w:rPr>
        <w:t>。</w:t>
      </w:r>
    </w:p>
    <w:p w:rsidR="009514AE" w:rsidRPr="00B85FA7" w:rsidRDefault="009514AE">
      <w:pPr>
        <w:spacing w:before="0" w:after="0" w:line="240" w:lineRule="auto"/>
        <w:ind w:firstLineChars="0" w:firstLine="0"/>
      </w:pPr>
      <w:r w:rsidRPr="00B85FA7">
        <w:br w:type="page"/>
      </w:r>
    </w:p>
    <w:p w:rsidR="002C72DC" w:rsidRPr="00B85FA7" w:rsidRDefault="008411D0">
      <w:pPr>
        <w:pStyle w:val="1"/>
      </w:pPr>
      <w:bookmarkStart w:id="46" w:name="_Toc398105646"/>
      <w:bookmarkStart w:id="47" w:name="_Toc435545787"/>
      <w:r w:rsidRPr="00B85FA7">
        <w:rPr>
          <w:rFonts w:hint="eastAsia"/>
        </w:rPr>
        <w:lastRenderedPageBreak/>
        <w:t>线路层面规划引导</w:t>
      </w:r>
      <w:bookmarkEnd w:id="46"/>
      <w:bookmarkEnd w:id="47"/>
    </w:p>
    <w:p w:rsidR="002C72DC" w:rsidRPr="00B85FA7" w:rsidRDefault="008411D0">
      <w:pPr>
        <w:pStyle w:val="2"/>
        <w:ind w:left="-240" w:firstLine="482"/>
      </w:pPr>
      <w:bookmarkStart w:id="48" w:name="_Toc398105650"/>
      <w:bookmarkStart w:id="49" w:name="_Toc435545788"/>
      <w:r w:rsidRPr="00B85FA7">
        <w:rPr>
          <w:rFonts w:hint="eastAsia"/>
        </w:rPr>
        <w:t>开发</w:t>
      </w:r>
      <w:r w:rsidRPr="00B85FA7">
        <w:t>建设机制</w:t>
      </w:r>
      <w:bookmarkEnd w:id="48"/>
      <w:bookmarkEnd w:id="49"/>
    </w:p>
    <w:p w:rsidR="002C72DC" w:rsidRPr="00B85FA7" w:rsidRDefault="008411D0">
      <w:pPr>
        <w:pStyle w:val="31"/>
      </w:pPr>
      <w:r w:rsidRPr="00B85FA7">
        <w:rPr>
          <w:rFonts w:hint="eastAsia"/>
        </w:rPr>
        <w:t>为顺应市场经济条件下轨道站点开发建设的投融资需要，在《轨道沿线用地调整规划》中应加强对轨道影响区用地权属、开发成本的研究，明确轨道影响区的发展</w:t>
      </w:r>
      <w:r w:rsidRPr="00B85FA7">
        <w:t>建设机制</w:t>
      </w:r>
      <w:r w:rsidRPr="00B85FA7">
        <w:rPr>
          <w:rFonts w:hint="eastAsia"/>
        </w:rPr>
        <w:t>。</w:t>
      </w:r>
    </w:p>
    <w:p w:rsidR="002C72DC" w:rsidRPr="00B85FA7" w:rsidRDefault="008411D0">
      <w:pPr>
        <w:pStyle w:val="31"/>
      </w:pPr>
      <w:r w:rsidRPr="00B85FA7">
        <w:rPr>
          <w:rFonts w:hint="eastAsia"/>
        </w:rPr>
        <w:t>轨道线</w:t>
      </w:r>
      <w:proofErr w:type="gramStart"/>
      <w:r w:rsidRPr="00B85FA7">
        <w:rPr>
          <w:rFonts w:hint="eastAsia"/>
        </w:rPr>
        <w:t>位走向</w:t>
      </w:r>
      <w:proofErr w:type="gramEnd"/>
      <w:r w:rsidRPr="00B85FA7">
        <w:rPr>
          <w:rFonts w:hint="eastAsia"/>
        </w:rPr>
        <w:t>及站点选址应考虑站点周边地块的储备及开发条件，使轨道建设能够引领周边区域的发展，从城市未来发展增量中谋求轨道交通运营的财务可持续性。</w:t>
      </w:r>
    </w:p>
    <w:p w:rsidR="002C72DC" w:rsidRPr="00B85FA7" w:rsidRDefault="008411D0">
      <w:pPr>
        <w:pStyle w:val="31"/>
        <w:rPr>
          <w:b/>
        </w:rPr>
      </w:pPr>
      <w:r w:rsidRPr="00B85FA7">
        <w:rPr>
          <w:rFonts w:hint="eastAsia"/>
        </w:rPr>
        <w:t>潜力地块的选取，应结合土地利用总体规划、城市规划、交通规划、城市未来房地产发展趋势，综合分析其用地与交通系统的关系，分析用地权属、建筑等因素。潜力地块原则上应位于轨道影响区范围内，并应在后续规划设计过程中，保持与轨道站点之间便利、安全、高品质的步行联系，保障潜力地块的开发建设与轨道交通建设及运营形成合力。</w:t>
      </w:r>
    </w:p>
    <w:p w:rsidR="002C72DC" w:rsidRPr="00B85FA7" w:rsidRDefault="008411D0">
      <w:pPr>
        <w:pStyle w:val="2"/>
        <w:ind w:left="-240" w:firstLine="482"/>
      </w:pPr>
      <w:bookmarkStart w:id="50" w:name="_Toc398105651"/>
      <w:bookmarkStart w:id="51" w:name="_Toc435545789"/>
      <w:r w:rsidRPr="00B85FA7">
        <w:rPr>
          <w:rFonts w:hint="eastAsia"/>
        </w:rPr>
        <w:t>功能定位</w:t>
      </w:r>
      <w:bookmarkEnd w:id="50"/>
      <w:bookmarkEnd w:id="51"/>
    </w:p>
    <w:p w:rsidR="002C72DC" w:rsidRPr="00B85FA7" w:rsidRDefault="008411D0">
      <w:pPr>
        <w:pStyle w:val="31"/>
      </w:pPr>
      <w:r w:rsidRPr="00B85FA7">
        <w:rPr>
          <w:rFonts w:hint="eastAsia"/>
        </w:rPr>
        <w:t>在《轨道交通引导城市发展专题研究》指导下，分析城市未来空间结构、发展方向、发展时序及未来房地产业的发展趋势，结合城市旧城区与新区发展的不同要求，将轨道沿线划分为不同的发展片区，对各片区的功能进行整体研究，进一步明确轨道沿线各片区的功能定位、空间发展重点及概念性建设规模。</w:t>
      </w:r>
    </w:p>
    <w:p w:rsidR="002C72DC" w:rsidRPr="00B85FA7" w:rsidRDefault="00291A3A">
      <w:pPr>
        <w:pStyle w:val="af3"/>
        <w:ind w:firstLineChars="0" w:firstLine="0"/>
        <w:jc w:val="center"/>
      </w:pPr>
      <w:r w:rsidRPr="00B85FA7">
        <w:rPr>
          <w:noProof/>
        </w:rPr>
        <w:lastRenderedPageBreak/>
        <w:drawing>
          <wp:inline distT="0" distB="0" distL="0" distR="0" wp14:anchorId="2F322CE1" wp14:editId="32F08A0F">
            <wp:extent cx="5166360" cy="4107180"/>
            <wp:effectExtent l="0" t="0" r="0" b="7620"/>
            <wp:docPr id="9" name="图片框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82"/>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r="3946"/>
                    <a:stretch>
                      <a:fillRect/>
                    </a:stretch>
                  </pic:blipFill>
                  <pic:spPr bwMode="auto">
                    <a:xfrm>
                      <a:off x="0" y="0"/>
                      <a:ext cx="5166360" cy="4107180"/>
                    </a:xfrm>
                    <a:prstGeom prst="rect">
                      <a:avLst/>
                    </a:prstGeom>
                    <a:noFill/>
                    <a:ln>
                      <a:noFill/>
                    </a:ln>
                  </pic:spPr>
                </pic:pic>
              </a:graphicData>
            </a:graphic>
          </wp:inline>
        </w:drawing>
      </w:r>
    </w:p>
    <w:p w:rsidR="002C72DC" w:rsidRPr="00B85FA7" w:rsidRDefault="008411D0">
      <w:pPr>
        <w:pStyle w:val="a"/>
      </w:pPr>
      <w:r w:rsidRPr="00B85FA7">
        <w:rPr>
          <w:rFonts w:hint="eastAsia"/>
        </w:rPr>
        <w:t>轨道沿线片区划分和功能定位研究示例</w:t>
      </w:r>
    </w:p>
    <w:p w:rsidR="0086402E" w:rsidRPr="00B85FA7" w:rsidRDefault="008411D0" w:rsidP="003D222B">
      <w:pPr>
        <w:pStyle w:val="31"/>
      </w:pPr>
      <w:r w:rsidRPr="00B85FA7">
        <w:rPr>
          <w:rFonts w:hint="eastAsia"/>
        </w:rPr>
        <w:t>在对轨道站点的开发模式与前景进行综合分析的基础上，进一步明确轨道沿线各站点的城市功能定位，确定各站点所属分类分级及主要功能</w:t>
      </w:r>
      <w:r w:rsidR="0086402E" w:rsidRPr="00B85FA7">
        <w:rPr>
          <w:rFonts w:hint="eastAsia"/>
        </w:rPr>
        <w:t>。</w:t>
      </w:r>
    </w:p>
    <w:p w:rsidR="002C72DC" w:rsidRPr="00B85FA7" w:rsidRDefault="008411D0" w:rsidP="003D222B">
      <w:pPr>
        <w:pStyle w:val="31"/>
      </w:pPr>
      <w:r w:rsidRPr="00B85FA7">
        <w:rPr>
          <w:rFonts w:hint="eastAsia"/>
        </w:rPr>
        <w:t>充分考虑市场经济条件下，商业服务业发展对集聚效应和规模效益的要求，合理</w:t>
      </w:r>
      <w:r w:rsidRPr="00B85FA7">
        <w:t>确定站点各项功能的发展需求，</w:t>
      </w:r>
      <w:r w:rsidRPr="00B85FA7">
        <w:rPr>
          <w:rFonts w:hint="eastAsia"/>
        </w:rPr>
        <w:t>强调特色发展，避免均质化布局。</w:t>
      </w:r>
    </w:p>
    <w:p w:rsidR="002C72DC" w:rsidRPr="00B85FA7" w:rsidRDefault="008411D0" w:rsidP="003D222B">
      <w:pPr>
        <w:pStyle w:val="31"/>
        <w:rPr>
          <w:sz w:val="20"/>
        </w:rPr>
      </w:pPr>
      <w:r w:rsidRPr="00B85FA7">
        <w:rPr>
          <w:rFonts w:hint="eastAsia"/>
        </w:rPr>
        <w:t>从城市及片区交通系统发展的角度出发，充分分析轨道沿线各站点的交通服务职能和服务范围，明确各站点的交通发展定位。</w:t>
      </w:r>
    </w:p>
    <w:p w:rsidR="002C72DC" w:rsidRPr="00B85FA7" w:rsidRDefault="00291A3A">
      <w:pPr>
        <w:pStyle w:val="af3"/>
        <w:ind w:firstLineChars="0" w:firstLine="0"/>
        <w:jc w:val="center"/>
      </w:pPr>
      <w:r w:rsidRPr="00B85FA7">
        <w:rPr>
          <w:noProof/>
        </w:rPr>
        <w:lastRenderedPageBreak/>
        <w:drawing>
          <wp:inline distT="0" distB="0" distL="0" distR="0" wp14:anchorId="50ED1E84" wp14:editId="33B88938">
            <wp:extent cx="5204460" cy="3497580"/>
            <wp:effectExtent l="0" t="0" r="0" b="7620"/>
            <wp:docPr id="10" name="图片框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8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04460" cy="3497580"/>
                    </a:xfrm>
                    <a:prstGeom prst="rect">
                      <a:avLst/>
                    </a:prstGeom>
                    <a:noFill/>
                    <a:ln>
                      <a:noFill/>
                    </a:ln>
                  </pic:spPr>
                </pic:pic>
              </a:graphicData>
            </a:graphic>
          </wp:inline>
        </w:drawing>
      </w:r>
    </w:p>
    <w:p w:rsidR="002C72DC" w:rsidRPr="00B85FA7" w:rsidRDefault="008411D0">
      <w:pPr>
        <w:pStyle w:val="a"/>
      </w:pPr>
      <w:r w:rsidRPr="00B85FA7">
        <w:rPr>
          <w:rFonts w:hint="eastAsia"/>
        </w:rPr>
        <w:t>确定站点分类及主要功能示例</w:t>
      </w:r>
    </w:p>
    <w:p w:rsidR="002C72DC" w:rsidRPr="00B85FA7" w:rsidRDefault="00291A3A">
      <w:pPr>
        <w:pStyle w:val="af3"/>
        <w:ind w:firstLineChars="0" w:firstLine="0"/>
        <w:jc w:val="center"/>
      </w:pPr>
      <w:r w:rsidRPr="00B85FA7">
        <w:rPr>
          <w:noProof/>
        </w:rPr>
        <w:drawing>
          <wp:inline distT="0" distB="0" distL="0" distR="0" wp14:anchorId="4974E5F6" wp14:editId="24A6E62F">
            <wp:extent cx="5250180" cy="1821180"/>
            <wp:effectExtent l="0" t="0" r="7620" b="7620"/>
            <wp:docPr id="1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0180" cy="1821180"/>
                    </a:xfrm>
                    <a:prstGeom prst="rect">
                      <a:avLst/>
                    </a:prstGeom>
                    <a:noFill/>
                    <a:ln>
                      <a:noFill/>
                    </a:ln>
                  </pic:spPr>
                </pic:pic>
              </a:graphicData>
            </a:graphic>
          </wp:inline>
        </w:drawing>
      </w:r>
    </w:p>
    <w:p w:rsidR="002C72DC" w:rsidRPr="00B85FA7" w:rsidRDefault="008411D0">
      <w:pPr>
        <w:pStyle w:val="a"/>
      </w:pPr>
      <w:r w:rsidRPr="00B85FA7">
        <w:rPr>
          <w:rFonts w:hint="eastAsia"/>
        </w:rPr>
        <w:t>站点功能定位应强调特色分工与集聚效应</w:t>
      </w:r>
    </w:p>
    <w:p w:rsidR="002C72DC" w:rsidRPr="00B85FA7" w:rsidRDefault="008411D0" w:rsidP="00D23FDD">
      <w:pPr>
        <w:pStyle w:val="2"/>
        <w:keepNext w:val="0"/>
        <w:keepLines w:val="0"/>
        <w:ind w:left="-240" w:firstLine="482"/>
      </w:pPr>
      <w:bookmarkStart w:id="52" w:name="_Toc398105652"/>
      <w:bookmarkStart w:id="53" w:name="_Toc435545790"/>
      <w:r w:rsidRPr="00B85FA7">
        <w:rPr>
          <w:rFonts w:hint="eastAsia"/>
        </w:rPr>
        <w:t>线路与站点位置优化</w:t>
      </w:r>
      <w:bookmarkEnd w:id="52"/>
      <w:bookmarkEnd w:id="53"/>
    </w:p>
    <w:p w:rsidR="002C72DC" w:rsidRPr="00B85FA7" w:rsidRDefault="008411D0" w:rsidP="00D23FDD">
      <w:pPr>
        <w:pStyle w:val="31"/>
      </w:pPr>
      <w:r w:rsidRPr="00B85FA7">
        <w:rPr>
          <w:rFonts w:hint="eastAsia"/>
        </w:rPr>
        <w:t>在进行线路与站点位置优化时，应保证轨道线网规划确定的重要锚固点，如：城市交通枢纽、商业服务中心、大型居住中心、网络换乘节点等的稳定性。</w:t>
      </w:r>
    </w:p>
    <w:p w:rsidR="00CA4A34" w:rsidRPr="00B85FA7" w:rsidRDefault="008411D0" w:rsidP="00D23FDD">
      <w:pPr>
        <w:pStyle w:val="31"/>
      </w:pPr>
      <w:r w:rsidRPr="00B85FA7">
        <w:rPr>
          <w:rFonts w:hint="eastAsia"/>
        </w:rPr>
        <w:t>轨道线路及站点应结合潜在客源分布、可开发土地资源、现状与规划用地性质等方面进行优化。</w:t>
      </w:r>
    </w:p>
    <w:p w:rsidR="00CA4A34" w:rsidRPr="00B85FA7" w:rsidRDefault="008411D0" w:rsidP="00E174E9">
      <w:pPr>
        <w:pStyle w:val="4"/>
        <w:numPr>
          <w:ilvl w:val="3"/>
          <w:numId w:val="43"/>
        </w:numPr>
      </w:pPr>
      <w:r w:rsidRPr="00B85FA7">
        <w:rPr>
          <w:rFonts w:hint="eastAsia"/>
        </w:rPr>
        <w:lastRenderedPageBreak/>
        <w:t>在城市中心区，站位选择应保证站点核心区拥有较大的轨道客流需求</w:t>
      </w:r>
      <w:r w:rsidR="00CA4A34" w:rsidRPr="00B85FA7">
        <w:rPr>
          <w:rFonts w:hint="eastAsia"/>
        </w:rPr>
        <w:t>。</w:t>
      </w:r>
    </w:p>
    <w:p w:rsidR="002C72DC" w:rsidRPr="00B85FA7" w:rsidRDefault="008411D0" w:rsidP="00C600EF">
      <w:pPr>
        <w:pStyle w:val="4"/>
      </w:pPr>
      <w:r w:rsidRPr="00B85FA7">
        <w:rPr>
          <w:rFonts w:hint="eastAsia"/>
        </w:rPr>
        <w:t>在城市外围地区，站位选择应与新区用地规划相符合，并使站点核心区拥有较多的潜力地块。</w:t>
      </w:r>
    </w:p>
    <w:p w:rsidR="002C72DC" w:rsidRPr="00B85FA7" w:rsidRDefault="008411D0" w:rsidP="00D23FDD">
      <w:pPr>
        <w:pStyle w:val="31"/>
      </w:pPr>
      <w:r w:rsidRPr="00B85FA7">
        <w:rPr>
          <w:rFonts w:hint="eastAsia"/>
        </w:rPr>
        <w:t>应综合考虑客流需求、站间距要求、外部交通衔接、速度目标等因素，优先选择道路交叉口、公交衔接点等设置轨道交通站点。</w:t>
      </w:r>
    </w:p>
    <w:p w:rsidR="002C72DC" w:rsidRPr="00B85FA7" w:rsidRDefault="008411D0" w:rsidP="00D23FDD">
      <w:pPr>
        <w:pStyle w:val="31"/>
      </w:pPr>
      <w:r w:rsidRPr="00B85FA7">
        <w:rPr>
          <w:rFonts w:hint="eastAsia"/>
        </w:rPr>
        <w:t>轨道线路及站点应避让文物保护单位，减少轨道施工对其造成破坏和干扰的风险。</w:t>
      </w:r>
    </w:p>
    <w:p w:rsidR="002C72DC" w:rsidRPr="00B85FA7" w:rsidRDefault="008411D0" w:rsidP="00D23FDD">
      <w:pPr>
        <w:pStyle w:val="31"/>
      </w:pPr>
      <w:r w:rsidRPr="00B85FA7">
        <w:rPr>
          <w:rFonts w:hint="eastAsia"/>
        </w:rPr>
        <w:t>轨道</w:t>
      </w:r>
      <w:r w:rsidRPr="00B85FA7">
        <w:t>线路应</w:t>
      </w:r>
      <w:proofErr w:type="gramStart"/>
      <w:r w:rsidRPr="00B85FA7">
        <w:rPr>
          <w:rFonts w:hint="eastAsia"/>
        </w:rPr>
        <w:t>沿</w:t>
      </w:r>
      <w:r w:rsidRPr="00B85FA7">
        <w:t>城市</w:t>
      </w:r>
      <w:proofErr w:type="gramEnd"/>
      <w:r w:rsidRPr="00B85FA7">
        <w:t>生活性道路敷设，不宜</w:t>
      </w:r>
      <w:proofErr w:type="gramStart"/>
      <w:r w:rsidRPr="00B85FA7">
        <w:t>沿快速</w:t>
      </w:r>
      <w:proofErr w:type="gramEnd"/>
      <w:r w:rsidRPr="00B85FA7">
        <w:t>路和交通干路敷设</w:t>
      </w:r>
      <w:r w:rsidR="00F7283D" w:rsidRPr="00B85FA7">
        <w:rPr>
          <w:rFonts w:hint="eastAsia"/>
        </w:rPr>
        <w:t>。</w:t>
      </w:r>
    </w:p>
    <w:p w:rsidR="002C72DC" w:rsidRPr="00B85FA7" w:rsidRDefault="008411D0" w:rsidP="00D23FDD">
      <w:pPr>
        <w:pStyle w:val="31"/>
      </w:pPr>
      <w:r w:rsidRPr="00B85FA7">
        <w:rPr>
          <w:rFonts w:hint="eastAsia"/>
        </w:rPr>
        <w:t>轨道枢纽站应与城市中心功能相吻合，市级商业中心、市级商务中心到达轨道枢纽站的距离应小于</w:t>
      </w:r>
      <w:r w:rsidRPr="00B85FA7">
        <w:t>500</w:t>
      </w:r>
      <w:r w:rsidR="003A2BBB">
        <w:rPr>
          <w:rFonts w:hint="eastAsia"/>
        </w:rPr>
        <w:t xml:space="preserve"> </w:t>
      </w:r>
      <w:r w:rsidRPr="00B85FA7">
        <w:t>m</w:t>
      </w:r>
      <w:r w:rsidRPr="00B85FA7">
        <w:rPr>
          <w:rFonts w:hint="eastAsia"/>
        </w:rPr>
        <w:t>。</w:t>
      </w:r>
    </w:p>
    <w:p w:rsidR="002C72DC" w:rsidRPr="00B85FA7" w:rsidRDefault="008411D0" w:rsidP="00D23FDD">
      <w:pPr>
        <w:pStyle w:val="31"/>
      </w:pPr>
      <w:r w:rsidRPr="00B85FA7">
        <w:rPr>
          <w:rFonts w:hint="eastAsia"/>
        </w:rPr>
        <w:t>轨道站点应与城市主要铁路客运枢纽及长途客运枢纽紧密衔接，轨道站点到达上述枢纽的距离应小于</w:t>
      </w:r>
      <w:r w:rsidRPr="00B85FA7">
        <w:t>500</w:t>
      </w:r>
      <w:r w:rsidR="003A2BBB">
        <w:rPr>
          <w:rFonts w:hint="eastAsia"/>
        </w:rPr>
        <w:t xml:space="preserve"> </w:t>
      </w:r>
      <w:r w:rsidRPr="00B85FA7">
        <w:t>m</w:t>
      </w:r>
      <w:r w:rsidRPr="00B85FA7">
        <w:rPr>
          <w:rFonts w:hint="eastAsia"/>
        </w:rPr>
        <w:t>。</w:t>
      </w:r>
    </w:p>
    <w:p w:rsidR="002C72DC" w:rsidRPr="00B85FA7" w:rsidRDefault="008411D0" w:rsidP="00D23FDD">
      <w:pPr>
        <w:pStyle w:val="31"/>
        <w:rPr>
          <w:b/>
        </w:rPr>
      </w:pPr>
      <w:r w:rsidRPr="00B85FA7">
        <w:rPr>
          <w:rFonts w:hint="eastAsia"/>
        </w:rPr>
        <w:t>轨道站点应尽量靠近吸引大规模人流的城市设施。如：体育馆、科技馆、城市办公和商业核心区、各类交通枢纽等。</w:t>
      </w:r>
    </w:p>
    <w:p w:rsidR="00CA4A34" w:rsidRPr="00B85FA7" w:rsidRDefault="008411D0" w:rsidP="00D23FDD">
      <w:pPr>
        <w:pStyle w:val="31"/>
      </w:pPr>
      <w:r w:rsidRPr="00B85FA7">
        <w:rPr>
          <w:rFonts w:hint="eastAsia"/>
        </w:rPr>
        <w:t>轨道线路和站点选择应本着功能优先原则，不宜仅考虑工程建设和征地拆迁工作的难易程度，在适当的情况下应考虑在城市街坊地块中设站。</w:t>
      </w:r>
    </w:p>
    <w:p w:rsidR="002C72DC" w:rsidRPr="00B85FA7" w:rsidRDefault="008411D0" w:rsidP="00D23FDD">
      <w:pPr>
        <w:pStyle w:val="31"/>
      </w:pPr>
      <w:r w:rsidRPr="00B85FA7">
        <w:rPr>
          <w:rFonts w:hint="eastAsia"/>
        </w:rPr>
        <w:t>应评估轨道线路站位及敷设方式是否与大型基础设施冲突，保证轨道线路、站场及相关设施的用地及建设的可行性。</w:t>
      </w:r>
    </w:p>
    <w:p w:rsidR="002C72DC" w:rsidRPr="00B85FA7" w:rsidRDefault="008411D0" w:rsidP="00D23FDD">
      <w:pPr>
        <w:pStyle w:val="2"/>
        <w:keepNext w:val="0"/>
        <w:keepLines w:val="0"/>
        <w:ind w:left="-240" w:firstLine="482"/>
      </w:pPr>
      <w:bookmarkStart w:id="54" w:name="_Toc398105653"/>
      <w:bookmarkStart w:id="55" w:name="_Toc435545791"/>
      <w:r w:rsidRPr="00B85FA7">
        <w:rPr>
          <w:rFonts w:hint="eastAsia"/>
        </w:rPr>
        <w:t>用地功能及建设强度引导</w:t>
      </w:r>
      <w:bookmarkEnd w:id="54"/>
      <w:bookmarkEnd w:id="55"/>
    </w:p>
    <w:p w:rsidR="002C72DC" w:rsidRPr="00B85FA7" w:rsidRDefault="008411D0" w:rsidP="00D23FDD">
      <w:pPr>
        <w:pStyle w:val="31"/>
      </w:pPr>
      <w:r w:rsidRPr="00B85FA7">
        <w:rPr>
          <w:rFonts w:hint="eastAsia"/>
        </w:rPr>
        <w:t>轨道影响区用地功能的布局与调整应以组织城市生活为目的。</w:t>
      </w:r>
    </w:p>
    <w:p w:rsidR="002C72DC" w:rsidRPr="00B85FA7" w:rsidRDefault="008411D0" w:rsidP="00E174E9">
      <w:pPr>
        <w:pStyle w:val="4"/>
        <w:numPr>
          <w:ilvl w:val="3"/>
          <w:numId w:val="55"/>
        </w:numPr>
      </w:pPr>
      <w:r w:rsidRPr="00B85FA7">
        <w:rPr>
          <w:rFonts w:hint="eastAsia"/>
        </w:rPr>
        <w:t>轨道影响区居住功能布局应公平满足各阶层居民的就业可达性，轨道影响区应优先满足保障性住房的建设需求。</w:t>
      </w:r>
    </w:p>
    <w:p w:rsidR="002C72DC" w:rsidRPr="00B85FA7" w:rsidRDefault="008411D0" w:rsidP="00C600EF">
      <w:pPr>
        <w:pStyle w:val="4"/>
      </w:pPr>
      <w:r w:rsidRPr="00B85FA7">
        <w:rPr>
          <w:rFonts w:hint="eastAsia"/>
        </w:rPr>
        <w:t>轨道站点核心区应成为市、区级商业服务设施用地优先布局的地区，增强轨道站点的活力与吸引力。</w:t>
      </w:r>
    </w:p>
    <w:p w:rsidR="002C72DC" w:rsidRPr="00B85FA7" w:rsidRDefault="008411D0" w:rsidP="00C600EF">
      <w:pPr>
        <w:pStyle w:val="4"/>
      </w:pPr>
      <w:r w:rsidRPr="00B85FA7">
        <w:rPr>
          <w:rFonts w:hint="eastAsia"/>
        </w:rPr>
        <w:t>轨道站点核心区应成为社区级公共服务设施优先布局的地区，使市民在借</w:t>
      </w:r>
      <w:r w:rsidRPr="00B85FA7">
        <w:rPr>
          <w:rFonts w:hint="eastAsia"/>
        </w:rPr>
        <w:lastRenderedPageBreak/>
        <w:t>助轨道通勤时，可以结合换乘，完成购物、娱乐、接送小孩、用餐、继续教育等日常活动。</w:t>
      </w:r>
    </w:p>
    <w:p w:rsidR="002C72DC" w:rsidRPr="00B85FA7" w:rsidRDefault="008411D0" w:rsidP="00C600EF">
      <w:pPr>
        <w:pStyle w:val="4"/>
      </w:pPr>
      <w:r w:rsidRPr="00B85FA7">
        <w:rPr>
          <w:rFonts w:hint="eastAsia"/>
        </w:rPr>
        <w:t>轨道站点核心区各类公共设施、商业服务业的布局应与步行系统相结合，优先保证轨道和步行交通使用者的需求。</w:t>
      </w:r>
    </w:p>
    <w:p w:rsidR="002C72DC" w:rsidRPr="00B85FA7" w:rsidRDefault="008411D0">
      <w:pPr>
        <w:pStyle w:val="31"/>
      </w:pPr>
      <w:r w:rsidRPr="00B85FA7">
        <w:rPr>
          <w:rFonts w:hint="eastAsia"/>
        </w:rPr>
        <w:t>枢纽站（</w:t>
      </w:r>
      <w:r w:rsidRPr="00B85FA7">
        <w:rPr>
          <w:rFonts w:ascii="宋体" w:hAnsi="宋体"/>
        </w:rPr>
        <w:t>A</w:t>
      </w:r>
      <w:r w:rsidRPr="00B85FA7">
        <w:rPr>
          <w:rFonts w:hint="eastAsia"/>
        </w:rPr>
        <w:t>类）：定位为城市综合交通枢纽和城市门户，以保障城市内外交通安全高效换乘为基本要求，并充分发挥其城市综合服务功能。</w:t>
      </w:r>
    </w:p>
    <w:p w:rsidR="002C72DC" w:rsidRPr="00B85FA7" w:rsidRDefault="008411D0" w:rsidP="00E174E9">
      <w:pPr>
        <w:pStyle w:val="4"/>
        <w:numPr>
          <w:ilvl w:val="3"/>
          <w:numId w:val="44"/>
        </w:numPr>
      </w:pPr>
      <w:r w:rsidRPr="00B85FA7">
        <w:rPr>
          <w:rFonts w:hint="eastAsia"/>
        </w:rPr>
        <w:t>功能：在满足综合交通功能的基础上，鼓励进行综合开发，包括商业、办公、会议、酒店、娱乐等功能。位于城市中心区的枢纽站应考虑城市综合体的建设方式。</w:t>
      </w:r>
    </w:p>
    <w:p w:rsidR="002C72DC" w:rsidRPr="00B85FA7" w:rsidRDefault="008411D0" w:rsidP="00E174E9">
      <w:pPr>
        <w:pStyle w:val="4"/>
        <w:numPr>
          <w:ilvl w:val="3"/>
          <w:numId w:val="44"/>
        </w:numPr>
      </w:pPr>
      <w:r w:rsidRPr="00B85FA7">
        <w:rPr>
          <w:rFonts w:hint="eastAsia"/>
        </w:rPr>
        <w:t>交通设施：合理配套长途汽车站与公交站场、小汽车</w:t>
      </w:r>
      <w:r w:rsidRPr="00B85FA7">
        <w:t>配建</w:t>
      </w:r>
      <w:r w:rsidRPr="00B85FA7">
        <w:rPr>
          <w:rFonts w:hint="eastAsia"/>
        </w:rPr>
        <w:t>停车场、出租汽车停车场、</w:t>
      </w:r>
      <w:r w:rsidRPr="00B85FA7">
        <w:t>自行车停车场</w:t>
      </w:r>
      <w:r w:rsidRPr="00B85FA7">
        <w:rPr>
          <w:rFonts w:hint="eastAsia"/>
        </w:rPr>
        <w:t>等设施，确保城市轨道与对外交通枢纽一体化衔接。交通集散应充分利用立体空间，提供分散的疏散通道，避免大尺度广场。</w:t>
      </w:r>
    </w:p>
    <w:p w:rsidR="002C72DC" w:rsidRPr="00B85FA7" w:rsidRDefault="008411D0" w:rsidP="00C600EF">
      <w:pPr>
        <w:pStyle w:val="4"/>
      </w:pPr>
      <w:r w:rsidRPr="00B85FA7">
        <w:rPr>
          <w:rFonts w:hint="eastAsia"/>
        </w:rPr>
        <w:t>建设强度：应遵循集约用地和便捷换乘的原则，协调不同开发和建设主体，合理确定枢纽站周边地区的建设强度，并应根据轨道及周边交通设施的承载力进行校核。</w:t>
      </w:r>
    </w:p>
    <w:p w:rsidR="002C72DC" w:rsidRPr="00B85FA7" w:rsidRDefault="008411D0" w:rsidP="00C600EF">
      <w:pPr>
        <w:pStyle w:val="4"/>
      </w:pPr>
      <w:r w:rsidRPr="00B85FA7">
        <w:rPr>
          <w:rFonts w:hint="eastAsia"/>
        </w:rPr>
        <w:t>其他要素：建筑密度、绿地率等规划控制指标，应主要根据枢纽所处区位及该区域城市发展的实际需求确定，并应通过概念性城市设计方案进行调整。山地城市应充分结合地形特征灵活确定各功能单元的关系，灵活掌握建筑密度、容积率和绿地率的测算方式。</w:t>
      </w:r>
    </w:p>
    <w:p w:rsidR="002C72DC" w:rsidRPr="00B85FA7" w:rsidRDefault="008411D0">
      <w:pPr>
        <w:pStyle w:val="31"/>
      </w:pPr>
      <w:r w:rsidRPr="00B85FA7">
        <w:rPr>
          <w:rFonts w:hint="eastAsia"/>
        </w:rPr>
        <w:t>中心站（</w:t>
      </w:r>
      <w:r w:rsidRPr="00B85FA7">
        <w:rPr>
          <w:rFonts w:ascii="宋体" w:hAnsi="宋体"/>
        </w:rPr>
        <w:t>B</w:t>
      </w:r>
      <w:r w:rsidRPr="00B85FA7">
        <w:rPr>
          <w:rFonts w:hint="eastAsia"/>
        </w:rPr>
        <w:t>类）：定位为区域级公共服务中心，轨道站点核心区范围内鼓励进行城市综合体开发建设。鼓励通过多个中心站组合构成城市中心地区。</w:t>
      </w:r>
    </w:p>
    <w:p w:rsidR="002C72DC" w:rsidRPr="00B85FA7" w:rsidRDefault="008411D0" w:rsidP="00E174E9">
      <w:pPr>
        <w:pStyle w:val="4"/>
        <w:numPr>
          <w:ilvl w:val="3"/>
          <w:numId w:val="45"/>
        </w:numPr>
      </w:pPr>
      <w:r w:rsidRPr="00B85FA7">
        <w:t>功能</w:t>
      </w:r>
      <w:r w:rsidRPr="00B85FA7">
        <w:rPr>
          <w:rFonts w:hint="eastAsia"/>
        </w:rPr>
        <w:t>：</w:t>
      </w:r>
      <w:r w:rsidRPr="00B85FA7">
        <w:t>以商业服务业、商务办公、公共管理与公共服务等功能为主，可兼容公寓等集约型建设的居住功能，居住开发不超过总建设量的</w:t>
      </w:r>
      <w:r w:rsidRPr="00B85FA7">
        <w:t>30%</w:t>
      </w:r>
      <w:r w:rsidRPr="00B85FA7">
        <w:t>，鼓励以多种形式提供公共开放空间；鼓励在综合体内设置</w:t>
      </w:r>
      <w:r w:rsidR="00580E46" w:rsidRPr="00B85FA7">
        <w:rPr>
          <w:rFonts w:hint="eastAsia"/>
        </w:rPr>
        <w:t>公益</w:t>
      </w:r>
      <w:r w:rsidRPr="00B85FA7">
        <w:t>性</w:t>
      </w:r>
      <w:r w:rsidRPr="00B85FA7">
        <w:rPr>
          <w:rFonts w:hint="eastAsia"/>
        </w:rPr>
        <w:t>的</w:t>
      </w:r>
      <w:r w:rsidRPr="00B85FA7">
        <w:t>科教</w:t>
      </w:r>
      <w:r w:rsidRPr="00B85FA7">
        <w:rPr>
          <w:rFonts w:hint="eastAsia"/>
        </w:rPr>
        <w:t>、</w:t>
      </w:r>
      <w:r w:rsidRPr="00B85FA7">
        <w:t>文</w:t>
      </w:r>
      <w:r w:rsidRPr="00B85FA7">
        <w:rPr>
          <w:rFonts w:hint="eastAsia"/>
        </w:rPr>
        <w:t>化娱乐、体育活动等</w:t>
      </w:r>
      <w:r w:rsidRPr="00B85FA7">
        <w:t>设施</w:t>
      </w:r>
      <w:r w:rsidRPr="00B85FA7">
        <w:rPr>
          <w:rFonts w:hint="eastAsia"/>
        </w:rPr>
        <w:t>及</w:t>
      </w:r>
      <w:r w:rsidRPr="00B85FA7">
        <w:t>政府办事机构。</w:t>
      </w:r>
    </w:p>
    <w:p w:rsidR="002C72DC" w:rsidRPr="00B85FA7" w:rsidRDefault="008411D0" w:rsidP="00C600EF">
      <w:pPr>
        <w:pStyle w:val="4"/>
      </w:pPr>
      <w:r w:rsidRPr="00B85FA7">
        <w:t>交通设施</w:t>
      </w:r>
      <w:r w:rsidRPr="00B85FA7">
        <w:rPr>
          <w:rFonts w:hint="eastAsia"/>
        </w:rPr>
        <w:t>：</w:t>
      </w:r>
      <w:r w:rsidRPr="00B85FA7">
        <w:t>特大城市中心站以轨道</w:t>
      </w:r>
      <w:r w:rsidRPr="00B85FA7">
        <w:rPr>
          <w:rFonts w:hint="eastAsia"/>
        </w:rPr>
        <w:t>交通</w:t>
      </w:r>
      <w:r w:rsidRPr="00B85FA7">
        <w:t>加步行的出行特征为主，</w:t>
      </w:r>
      <w:r w:rsidRPr="00B85FA7">
        <w:rPr>
          <w:rFonts w:hint="eastAsia"/>
        </w:rPr>
        <w:t>并应配套</w:t>
      </w:r>
      <w:r w:rsidRPr="00B85FA7">
        <w:t>公交</w:t>
      </w:r>
      <w:r w:rsidRPr="00B85FA7">
        <w:rPr>
          <w:rFonts w:hint="eastAsia"/>
        </w:rPr>
        <w:t>车站</w:t>
      </w:r>
      <w:r w:rsidRPr="00B85FA7">
        <w:t>，必要时公交车站可安排在道路红线以外的城市用地中。</w:t>
      </w:r>
      <w:r w:rsidRPr="00B85FA7">
        <w:rPr>
          <w:rFonts w:hint="eastAsia"/>
        </w:rPr>
        <w:t>大城市</w:t>
      </w:r>
      <w:proofErr w:type="gramStart"/>
      <w:r w:rsidRPr="00B85FA7">
        <w:rPr>
          <w:rFonts w:hint="eastAsia"/>
        </w:rPr>
        <w:t>中心站宜兼顾</w:t>
      </w:r>
      <w:proofErr w:type="gramEnd"/>
      <w:r w:rsidRPr="00B85FA7">
        <w:rPr>
          <w:rFonts w:hint="eastAsia"/>
        </w:rPr>
        <w:t>城市轨道交通与公共交通主要换乘枢纽的功能。</w:t>
      </w:r>
    </w:p>
    <w:p w:rsidR="003C7929" w:rsidRPr="00B85FA7" w:rsidRDefault="008411D0" w:rsidP="00C600EF">
      <w:pPr>
        <w:pStyle w:val="4"/>
      </w:pPr>
      <w:r w:rsidRPr="00B85FA7">
        <w:rPr>
          <w:rFonts w:hint="eastAsia"/>
        </w:rPr>
        <w:lastRenderedPageBreak/>
        <w:t>建设强度：</w:t>
      </w:r>
    </w:p>
    <w:p w:rsidR="003C7929" w:rsidRPr="00B85FA7" w:rsidRDefault="008411D0" w:rsidP="00E174E9">
      <w:pPr>
        <w:pStyle w:val="5"/>
        <w:numPr>
          <w:ilvl w:val="4"/>
          <w:numId w:val="12"/>
        </w:numPr>
      </w:pPr>
      <w:r w:rsidRPr="00B85FA7">
        <w:t>I</w:t>
      </w:r>
      <w:r w:rsidRPr="00B85FA7">
        <w:rPr>
          <w:rFonts w:hint="eastAsia"/>
        </w:rPr>
        <w:t>级线网城市站点核心区范围内</w:t>
      </w:r>
      <w:r w:rsidR="000B5260">
        <w:rPr>
          <w:rFonts w:hint="eastAsia"/>
        </w:rPr>
        <w:t>地块</w:t>
      </w:r>
      <w:r w:rsidRPr="00B85FA7">
        <w:rPr>
          <w:rFonts w:hint="eastAsia"/>
        </w:rPr>
        <w:t>的</w:t>
      </w:r>
      <w:r w:rsidR="000B5260">
        <w:rPr>
          <w:rFonts w:hint="eastAsia"/>
        </w:rPr>
        <w:t>净</w:t>
      </w:r>
      <w:r w:rsidRPr="00B85FA7">
        <w:rPr>
          <w:rFonts w:hint="eastAsia"/>
        </w:rPr>
        <w:t>容积率下限为</w:t>
      </w:r>
      <w:r w:rsidRPr="00B85FA7">
        <w:t>6</w:t>
      </w:r>
      <w:r w:rsidRPr="00B85FA7">
        <w:rPr>
          <w:rFonts w:hint="eastAsia"/>
        </w:rPr>
        <w:t>，站点影响区范围内</w:t>
      </w:r>
      <w:r w:rsidR="000B5260">
        <w:rPr>
          <w:rFonts w:hint="eastAsia"/>
        </w:rPr>
        <w:t>地块</w:t>
      </w:r>
      <w:r w:rsidRPr="00B85FA7">
        <w:rPr>
          <w:rFonts w:hint="eastAsia"/>
        </w:rPr>
        <w:t>的</w:t>
      </w:r>
      <w:r w:rsidR="000B5260">
        <w:rPr>
          <w:rFonts w:hint="eastAsia"/>
        </w:rPr>
        <w:t>净</w:t>
      </w:r>
      <w:r w:rsidRPr="00B85FA7">
        <w:rPr>
          <w:rFonts w:hint="eastAsia"/>
        </w:rPr>
        <w:t>容积率下限为</w:t>
      </w:r>
      <w:r w:rsidRPr="00B85FA7">
        <w:t>4</w:t>
      </w:r>
      <w:r w:rsidRPr="00B85FA7">
        <w:rPr>
          <w:rFonts w:hint="eastAsia"/>
        </w:rPr>
        <w:t>。</w:t>
      </w:r>
    </w:p>
    <w:p w:rsidR="003C7929" w:rsidRPr="00B85FA7" w:rsidRDefault="008411D0" w:rsidP="00E174E9">
      <w:pPr>
        <w:pStyle w:val="5"/>
        <w:numPr>
          <w:ilvl w:val="4"/>
          <w:numId w:val="12"/>
        </w:numPr>
      </w:pPr>
      <w:r w:rsidRPr="00B85FA7">
        <w:t>II</w:t>
      </w:r>
      <w:r w:rsidRPr="00B85FA7">
        <w:rPr>
          <w:rFonts w:hint="eastAsia"/>
        </w:rPr>
        <w:t>级线网城市站点核心区范围内</w:t>
      </w:r>
      <w:r w:rsidR="00EA70B8">
        <w:rPr>
          <w:rFonts w:hint="eastAsia"/>
        </w:rPr>
        <w:t>地块</w:t>
      </w:r>
      <w:r w:rsidRPr="00B85FA7">
        <w:rPr>
          <w:rFonts w:hint="eastAsia"/>
        </w:rPr>
        <w:t>的</w:t>
      </w:r>
      <w:r w:rsidR="00EA70B8">
        <w:rPr>
          <w:rFonts w:hint="eastAsia"/>
        </w:rPr>
        <w:t>净</w:t>
      </w:r>
      <w:r w:rsidRPr="00B85FA7">
        <w:rPr>
          <w:rFonts w:hint="eastAsia"/>
        </w:rPr>
        <w:t>容积率下限为</w:t>
      </w:r>
      <w:r w:rsidRPr="00B85FA7">
        <w:t>5</w:t>
      </w:r>
      <w:r w:rsidRPr="00B85FA7">
        <w:rPr>
          <w:rFonts w:hint="eastAsia"/>
        </w:rPr>
        <w:t>，站点影响区范围内</w:t>
      </w:r>
      <w:r w:rsidR="00EA70B8">
        <w:rPr>
          <w:rFonts w:hint="eastAsia"/>
        </w:rPr>
        <w:t>地块</w:t>
      </w:r>
      <w:r w:rsidRPr="00B85FA7">
        <w:rPr>
          <w:rFonts w:hint="eastAsia"/>
        </w:rPr>
        <w:t>的</w:t>
      </w:r>
      <w:r w:rsidR="00EA70B8">
        <w:rPr>
          <w:rFonts w:hint="eastAsia"/>
        </w:rPr>
        <w:t>净</w:t>
      </w:r>
      <w:r w:rsidRPr="00B85FA7">
        <w:rPr>
          <w:rFonts w:hint="eastAsia"/>
        </w:rPr>
        <w:t>容积率下限为</w:t>
      </w:r>
      <w:r w:rsidRPr="00B85FA7">
        <w:t>3.5</w:t>
      </w:r>
      <w:r w:rsidRPr="00B85FA7">
        <w:rPr>
          <w:rFonts w:hint="eastAsia"/>
        </w:rPr>
        <w:t>。</w:t>
      </w:r>
    </w:p>
    <w:p w:rsidR="003C7929" w:rsidRPr="00B85FA7" w:rsidRDefault="008411D0" w:rsidP="00E174E9">
      <w:pPr>
        <w:pStyle w:val="5"/>
        <w:numPr>
          <w:ilvl w:val="4"/>
          <w:numId w:val="12"/>
        </w:numPr>
      </w:pPr>
      <w:r w:rsidRPr="00B85FA7">
        <w:rPr>
          <w:rFonts w:hint="eastAsia"/>
        </w:rPr>
        <w:t>如用于居住功能，则居住功能部分的容积率仍然要考虑上限，以保证良好的人居环境。</w:t>
      </w:r>
    </w:p>
    <w:p w:rsidR="003C7929" w:rsidRPr="00B85FA7" w:rsidRDefault="008411D0" w:rsidP="00E174E9">
      <w:pPr>
        <w:pStyle w:val="5"/>
        <w:numPr>
          <w:ilvl w:val="4"/>
          <w:numId w:val="12"/>
        </w:numPr>
      </w:pPr>
      <w:r w:rsidRPr="00B85FA7">
        <w:rPr>
          <w:rFonts w:hint="eastAsia"/>
        </w:rPr>
        <w:t>在城市既有建成区的城市更新项目，应综合考虑交通与环境承载力的要求，确定实际建设强度。</w:t>
      </w:r>
    </w:p>
    <w:p w:rsidR="002C72DC" w:rsidRPr="00B85FA7" w:rsidRDefault="008411D0" w:rsidP="00E174E9">
      <w:pPr>
        <w:pStyle w:val="5"/>
        <w:numPr>
          <w:ilvl w:val="4"/>
          <w:numId w:val="12"/>
        </w:numPr>
      </w:pPr>
      <w:r w:rsidRPr="00B85FA7">
        <w:rPr>
          <w:rFonts w:hint="eastAsia"/>
        </w:rPr>
        <w:t>山地城市可因地制宜，在保证环境品质基础上</w:t>
      </w:r>
      <w:r w:rsidR="00EA70B8">
        <w:rPr>
          <w:rFonts w:hint="eastAsia"/>
        </w:rPr>
        <w:t>综合</w:t>
      </w:r>
      <w:r w:rsidRPr="00B85FA7">
        <w:rPr>
          <w:rFonts w:hint="eastAsia"/>
        </w:rPr>
        <w:t>确定实际建设强度。</w:t>
      </w:r>
    </w:p>
    <w:p w:rsidR="002C72DC" w:rsidRPr="00B85FA7" w:rsidRDefault="008411D0" w:rsidP="00C600EF">
      <w:pPr>
        <w:pStyle w:val="4"/>
      </w:pPr>
      <w:r w:rsidRPr="00B85FA7">
        <w:rPr>
          <w:rFonts w:hint="eastAsia"/>
        </w:rPr>
        <w:t>建筑密度：站点核心区地块的建筑密度宜在</w:t>
      </w:r>
      <w:r w:rsidRPr="00B85FA7">
        <w:t>60%~85</w:t>
      </w:r>
      <w:bookmarkStart w:id="56" w:name="OLE_LINK9"/>
      <w:bookmarkStart w:id="57" w:name="OLE_LINK10"/>
      <w:r w:rsidRPr="00B85FA7">
        <w:t>%</w:t>
      </w:r>
      <w:bookmarkEnd w:id="56"/>
      <w:bookmarkEnd w:id="57"/>
      <w:r w:rsidRPr="00B85FA7">
        <w:rPr>
          <w:rFonts w:hint="eastAsia"/>
        </w:rPr>
        <w:t>之间。</w:t>
      </w:r>
    </w:p>
    <w:p w:rsidR="002C72DC" w:rsidRPr="00B85FA7" w:rsidRDefault="008411D0" w:rsidP="00C600EF">
      <w:pPr>
        <w:pStyle w:val="4"/>
      </w:pPr>
      <w:r w:rsidRPr="00B85FA7">
        <w:rPr>
          <w:rFonts w:hint="eastAsia"/>
        </w:rPr>
        <w:t>绿地率：鼓励设置立体绿化，并按照一</w:t>
      </w:r>
      <w:r w:rsidRPr="00B85FA7">
        <w:t>定比例将立体绿化面积折算为绿地面积，纳入绿</w:t>
      </w:r>
      <w:r w:rsidRPr="00B85FA7">
        <w:rPr>
          <w:rFonts w:hint="eastAsia"/>
        </w:rPr>
        <w:t>地</w:t>
      </w:r>
      <w:r w:rsidRPr="00B85FA7">
        <w:t>率计算。</w:t>
      </w:r>
    </w:p>
    <w:p w:rsidR="002C72DC" w:rsidRPr="00B85FA7" w:rsidRDefault="008411D0" w:rsidP="00C600EF">
      <w:pPr>
        <w:pStyle w:val="4"/>
      </w:pPr>
      <w:r w:rsidRPr="00B85FA7">
        <w:t>地下空间</w:t>
      </w:r>
      <w:r w:rsidRPr="00B85FA7">
        <w:rPr>
          <w:rFonts w:hint="eastAsia"/>
        </w:rPr>
        <w:t>：</w:t>
      </w:r>
      <w:r w:rsidRPr="00B85FA7">
        <w:t>鼓励综合体利用地下空间设置地下商业、娱乐等经营性功能。</w:t>
      </w:r>
    </w:p>
    <w:p w:rsidR="002C72DC" w:rsidRPr="00B85FA7" w:rsidRDefault="008411D0" w:rsidP="00C600EF">
      <w:pPr>
        <w:pStyle w:val="4"/>
      </w:pPr>
      <w:r w:rsidRPr="00B85FA7">
        <w:rPr>
          <w:rFonts w:hint="eastAsia"/>
        </w:rPr>
        <w:t>停车设施：应实行较严厉的交通需求管理政策，不宜设置城市公共停车场，各功能单元的建筑停车配建指标应在城市配建指标基础上进行折减。</w:t>
      </w:r>
    </w:p>
    <w:p w:rsidR="002C72DC" w:rsidRPr="00B85FA7" w:rsidRDefault="00294309">
      <w:pPr>
        <w:pStyle w:val="af3"/>
        <w:keepNext/>
        <w:ind w:firstLineChars="0" w:firstLine="0"/>
        <w:jc w:val="center"/>
      </w:pPr>
      <w:r>
        <w:rPr>
          <w:b w:val="0"/>
          <w:noProof/>
          <w:kern w:val="0"/>
          <w:szCs w:val="20"/>
        </w:rPr>
        <mc:AlternateContent>
          <mc:Choice Requires="wpg">
            <w:drawing>
              <wp:inline distT="0" distB="0" distL="0" distR="0" wp14:anchorId="31D96E6B" wp14:editId="7D6DD470">
                <wp:extent cx="5348605" cy="2004060"/>
                <wp:effectExtent l="0" t="0" r="4445" b="0"/>
                <wp:docPr id="34" name="组合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8605" cy="2004060"/>
                          <a:chOff x="0" y="0"/>
                          <a:chExt cx="8423" cy="3156"/>
                        </a:xfrm>
                      </wpg:grpSpPr>
                      <wps:wsp>
                        <wps:cNvPr id="57" name="矩形 10"/>
                        <wps:cNvSpPr>
                          <a:spLocks noChangeArrowheads="1"/>
                        </wps:cNvSpPr>
                        <wps:spPr bwMode="auto">
                          <a:xfrm>
                            <a:off x="2833" y="0"/>
                            <a:ext cx="2747" cy="3156"/>
                          </a:xfrm>
                          <a:prstGeom prst="rect">
                            <a:avLst/>
                          </a:prstGeom>
                          <a:solidFill>
                            <a:srgbClr val="EEEC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5260" w:rsidRDefault="000B5260">
                              <w:pPr>
                                <w:ind w:firstLine="360"/>
                                <w:jc w:val="center"/>
                              </w:pPr>
                            </w:p>
                          </w:txbxContent>
                        </wps:txbx>
                        <wps:bodyPr rot="0" vert="horz" wrap="square" lIns="91440" tIns="45720" rIns="91440" bIns="45720" anchor="t" anchorCtr="0" upright="1">
                          <a:noAutofit/>
                        </wps:bodyPr>
                      </wps:wsp>
                      <wps:wsp>
                        <wps:cNvPr id="58" name="矩形 11"/>
                        <wps:cNvSpPr>
                          <a:spLocks noChangeArrowheads="1"/>
                        </wps:cNvSpPr>
                        <wps:spPr bwMode="auto">
                          <a:xfrm>
                            <a:off x="5676" y="0"/>
                            <a:ext cx="2747" cy="3156"/>
                          </a:xfrm>
                          <a:prstGeom prst="rect">
                            <a:avLst/>
                          </a:prstGeom>
                          <a:solidFill>
                            <a:srgbClr val="EEEC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5260" w:rsidRDefault="000B5260">
                              <w:pPr>
                                <w:ind w:firstLine="360"/>
                              </w:pPr>
                            </w:p>
                          </w:txbxContent>
                        </wps:txbx>
                        <wps:bodyPr rot="0" vert="horz" wrap="square" lIns="91440" tIns="45720" rIns="91440" bIns="45720" anchor="t" anchorCtr="0" upright="1">
                          <a:noAutofit/>
                        </wps:bodyPr>
                      </wps:wsp>
                      <wps:wsp>
                        <wps:cNvPr id="59" name="矩形 12"/>
                        <wps:cNvSpPr>
                          <a:spLocks noChangeArrowheads="1"/>
                        </wps:cNvSpPr>
                        <wps:spPr bwMode="auto">
                          <a:xfrm>
                            <a:off x="0" y="0"/>
                            <a:ext cx="2747" cy="3156"/>
                          </a:xfrm>
                          <a:prstGeom prst="rect">
                            <a:avLst/>
                          </a:prstGeom>
                          <a:solidFill>
                            <a:srgbClr val="EEEC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5260" w:rsidRDefault="000B5260">
                              <w:pPr>
                                <w:ind w:left="480" w:firstLineChars="0" w:firstLine="0"/>
                              </w:pPr>
                            </w:p>
                          </w:txbxContent>
                        </wps:txbx>
                        <wps:bodyPr rot="0" vert="horz" wrap="square" lIns="91440" tIns="45720" rIns="91440" bIns="45720" anchor="t" anchorCtr="0" upright="1">
                          <a:noAutofit/>
                        </wps:bodyPr>
                      </wps:wsp>
                      <wps:wsp>
                        <wps:cNvPr id="60" name="TextBox 16"/>
                        <wps:cNvSpPr>
                          <a:spLocks noChangeArrowheads="1"/>
                        </wps:cNvSpPr>
                        <wps:spPr bwMode="auto">
                          <a:xfrm>
                            <a:off x="0" y="2574"/>
                            <a:ext cx="2748"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260" w:rsidRDefault="000B5260">
                              <w:pPr>
                                <w:pStyle w:val="ad"/>
                                <w:spacing w:before="0" w:beforeAutospacing="0" w:after="0" w:afterAutospacing="0"/>
                                <w:ind w:firstLineChars="400" w:firstLine="840"/>
                                <w:textAlignment w:val="baseline"/>
                                <w:rPr>
                                  <w:sz w:val="21"/>
                                  <w:szCs w:val="21"/>
                                </w:rPr>
                              </w:pPr>
                              <w:r>
                                <w:rPr>
                                  <w:rFonts w:hint="eastAsia"/>
                                  <w:bCs/>
                                  <w:color w:val="000000"/>
                                  <w:kern w:val="24"/>
                                  <w:sz w:val="21"/>
                                  <w:szCs w:val="21"/>
                                </w:rPr>
                                <w:t>太古汇</w:t>
                              </w:r>
                            </w:p>
                          </w:txbxContent>
                        </wps:txbx>
                        <wps:bodyPr rot="0" vert="horz" wrap="square" lIns="91440" tIns="45720" rIns="91440" bIns="45720" anchor="t" anchorCtr="0" upright="1">
                          <a:noAutofit/>
                        </wps:bodyPr>
                      </wps:wsp>
                      <wpg:grpSp>
                        <wpg:cNvPr id="61" name="组合 1090"/>
                        <wpg:cNvGrpSpPr>
                          <a:grpSpLocks/>
                        </wpg:cNvGrpSpPr>
                        <wpg:grpSpPr bwMode="auto">
                          <a:xfrm>
                            <a:off x="129" y="626"/>
                            <a:ext cx="2341" cy="1606"/>
                            <a:chOff x="0" y="0"/>
                            <a:chExt cx="2341" cy="1606"/>
                          </a:xfrm>
                        </wpg:grpSpPr>
                        <wpg:grpSp>
                          <wpg:cNvPr id="62" name="组合 1091"/>
                          <wpg:cNvGrpSpPr>
                            <a:grpSpLocks/>
                          </wpg:cNvGrpSpPr>
                          <wpg:grpSpPr bwMode="auto">
                            <a:xfrm>
                              <a:off x="0" y="0"/>
                              <a:ext cx="2341" cy="1606"/>
                              <a:chOff x="0" y="0"/>
                              <a:chExt cx="2341" cy="1606"/>
                            </a:xfrm>
                          </wpg:grpSpPr>
                          <wps:wsp>
                            <wps:cNvPr id="63" name="任意多边形 31"/>
                            <wps:cNvSpPr>
                              <a:spLocks noChangeArrowheads="1"/>
                            </wps:cNvSpPr>
                            <wps:spPr bwMode="auto">
                              <a:xfrm>
                                <a:off x="0" y="0"/>
                                <a:ext cx="2341" cy="1606"/>
                              </a:xfrm>
                              <a:custGeom>
                                <a:avLst/>
                                <a:gdLst>
                                  <a:gd name="T0" fmla="*/ 146213 w 5784244"/>
                                  <a:gd name="T1" fmla="*/ 167640 h 3154680"/>
                                  <a:gd name="T2" fmla="*/ 390053 w 5784244"/>
                                  <a:gd name="T3" fmla="*/ 0 h 3154680"/>
                                  <a:gd name="T4" fmla="*/ 5190653 w 5784244"/>
                                  <a:gd name="T5" fmla="*/ 0 h 3154680"/>
                                  <a:gd name="T6" fmla="*/ 5510693 w 5784244"/>
                                  <a:gd name="T7" fmla="*/ 251460 h 3154680"/>
                                  <a:gd name="T8" fmla="*/ 5769773 w 5784244"/>
                                  <a:gd name="T9" fmla="*/ 2125980 h 3154680"/>
                                  <a:gd name="T10" fmla="*/ 4893473 w 5784244"/>
                                  <a:gd name="T11" fmla="*/ 3154680 h 3154680"/>
                                  <a:gd name="T12" fmla="*/ 237653 w 5784244"/>
                                  <a:gd name="T13" fmla="*/ 3017520 h 3154680"/>
                                  <a:gd name="T14" fmla="*/ 1433 w 5784244"/>
                                  <a:gd name="T15" fmla="*/ 2720340 h 3154680"/>
                                  <a:gd name="T16" fmla="*/ 146213 w 5784244"/>
                                  <a:gd name="T17" fmla="*/ 167640 h 3154680"/>
                                  <a:gd name="T18" fmla="*/ 0 w 5784244"/>
                                  <a:gd name="T19" fmla="*/ 0 h 3154680"/>
                                  <a:gd name="T20" fmla="*/ 57865 w 5784244"/>
                                  <a:gd name="T21" fmla="*/ 31547 h 3154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784244" h="3154680">
                                    <a:moveTo>
                                      <a:pt x="146213" y="167640"/>
                                    </a:moveTo>
                                    <a:cubicBezTo>
                                      <a:pt x="158913" y="58420"/>
                                      <a:pt x="232573" y="2540"/>
                                      <a:pt x="390053" y="0"/>
                                    </a:cubicBezTo>
                                    <a:lnTo>
                                      <a:pt x="5190653" y="0"/>
                                    </a:lnTo>
                                    <a:cubicBezTo>
                                      <a:pt x="5358293" y="0"/>
                                      <a:pt x="5487833" y="106680"/>
                                      <a:pt x="5510693" y="251460"/>
                                    </a:cubicBezTo>
                                    <a:lnTo>
                                      <a:pt x="5769773" y="2125980"/>
                                    </a:lnTo>
                                    <a:cubicBezTo>
                                      <a:pt x="5873913" y="2941320"/>
                                      <a:pt x="5398933" y="3131820"/>
                                      <a:pt x="4893473" y="3154680"/>
                                    </a:cubicBezTo>
                                    <a:lnTo>
                                      <a:pt x="237653" y="3017520"/>
                                    </a:lnTo>
                                    <a:cubicBezTo>
                                      <a:pt x="59853" y="3009900"/>
                                      <a:pt x="-11267" y="2849880"/>
                                      <a:pt x="1433" y="2720340"/>
                                    </a:cubicBezTo>
                                    <a:lnTo>
                                      <a:pt x="146213" y="167640"/>
                                    </a:lnTo>
                                    <a:close/>
                                  </a:path>
                                </a:pathLst>
                              </a:custGeom>
                              <a:solidFill>
                                <a:srgbClr val="FFFFFF"/>
                              </a:solidFill>
                              <a:ln w="9525">
                                <a:solidFill>
                                  <a:srgbClr val="A6A6A6"/>
                                </a:solidFill>
                                <a:round/>
                                <a:headEnd/>
                                <a:tailEnd/>
                              </a:ln>
                            </wps:spPr>
                            <wps:txbx>
                              <w:txbxContent>
                                <w:p w:rsidR="000B5260" w:rsidRDefault="000B5260">
                                  <w:pPr>
                                    <w:ind w:firstLine="360"/>
                                  </w:pPr>
                                </w:p>
                              </w:txbxContent>
                            </wps:txbx>
                            <wps:bodyPr rot="0" vert="horz" wrap="square" lIns="91440" tIns="45720" rIns="91440" bIns="45720" anchor="t" anchorCtr="0" upright="1">
                              <a:noAutofit/>
                            </wps:bodyPr>
                          </wps:wsp>
                          <wps:wsp>
                            <wps:cNvPr id="128" name="任意多边形 32"/>
                            <wps:cNvSpPr>
                              <a:spLocks noChangeArrowheads="1"/>
                            </wps:cNvSpPr>
                            <wps:spPr bwMode="auto">
                              <a:xfrm>
                                <a:off x="127" y="58"/>
                                <a:ext cx="2140" cy="1490"/>
                              </a:xfrm>
                              <a:custGeom>
                                <a:avLst/>
                                <a:gdLst>
                                  <a:gd name="T0" fmla="*/ 68580 w 5288280"/>
                                  <a:gd name="T1" fmla="*/ 213360 h 2926080"/>
                                  <a:gd name="T2" fmla="*/ 312420 w 5288280"/>
                                  <a:gd name="T3" fmla="*/ 1013460 h 2926080"/>
                                  <a:gd name="T4" fmla="*/ 259080 w 5288280"/>
                                  <a:gd name="T5" fmla="*/ 1234440 h 2926080"/>
                                  <a:gd name="T6" fmla="*/ 121920 w 5288280"/>
                                  <a:gd name="T7" fmla="*/ 1219200 h 2926080"/>
                                  <a:gd name="T8" fmla="*/ 243840 w 5288280"/>
                                  <a:gd name="T9" fmla="*/ 1775460 h 2926080"/>
                                  <a:gd name="T10" fmla="*/ 137160 w 5288280"/>
                                  <a:gd name="T11" fmla="*/ 1798320 h 2926080"/>
                                  <a:gd name="T12" fmla="*/ 144780 w 5288280"/>
                                  <a:gd name="T13" fmla="*/ 1912620 h 2926080"/>
                                  <a:gd name="T14" fmla="*/ 30480 w 5288280"/>
                                  <a:gd name="T15" fmla="*/ 1950720 h 2926080"/>
                                  <a:gd name="T16" fmla="*/ 68580 w 5288280"/>
                                  <a:gd name="T17" fmla="*/ 2087880 h 2926080"/>
                                  <a:gd name="T18" fmla="*/ 0 w 5288280"/>
                                  <a:gd name="T19" fmla="*/ 2103120 h 2926080"/>
                                  <a:gd name="T20" fmla="*/ 121920 w 5288280"/>
                                  <a:gd name="T21" fmla="*/ 2735580 h 2926080"/>
                                  <a:gd name="T22" fmla="*/ 1021080 w 5288280"/>
                                  <a:gd name="T23" fmla="*/ 2575560 h 2926080"/>
                                  <a:gd name="T24" fmla="*/ 1440180 w 5288280"/>
                                  <a:gd name="T25" fmla="*/ 2788920 h 2926080"/>
                                  <a:gd name="T26" fmla="*/ 2034540 w 5288280"/>
                                  <a:gd name="T27" fmla="*/ 2621280 h 2926080"/>
                                  <a:gd name="T28" fmla="*/ 2316480 w 5288280"/>
                                  <a:gd name="T29" fmla="*/ 2659380 h 2926080"/>
                                  <a:gd name="T30" fmla="*/ 2324100 w 5288280"/>
                                  <a:gd name="T31" fmla="*/ 2819400 h 2926080"/>
                                  <a:gd name="T32" fmla="*/ 3360420 w 5288280"/>
                                  <a:gd name="T33" fmla="*/ 2842260 h 2926080"/>
                                  <a:gd name="T34" fmla="*/ 3642360 w 5288280"/>
                                  <a:gd name="T35" fmla="*/ 2926080 h 2926080"/>
                                  <a:gd name="T36" fmla="*/ 4419600 w 5288280"/>
                                  <a:gd name="T37" fmla="*/ 2628900 h 2926080"/>
                                  <a:gd name="T38" fmla="*/ 4953000 w 5288280"/>
                                  <a:gd name="T39" fmla="*/ 2880360 h 2926080"/>
                                  <a:gd name="T40" fmla="*/ 5257800 w 5288280"/>
                                  <a:gd name="T41" fmla="*/ 2247900 h 2926080"/>
                                  <a:gd name="T42" fmla="*/ 5219700 w 5288280"/>
                                  <a:gd name="T43" fmla="*/ 2232660 h 2926080"/>
                                  <a:gd name="T44" fmla="*/ 5288280 w 5288280"/>
                                  <a:gd name="T45" fmla="*/ 2110740 h 2926080"/>
                                  <a:gd name="T46" fmla="*/ 5181600 w 5288280"/>
                                  <a:gd name="T47" fmla="*/ 2072640 h 2926080"/>
                                  <a:gd name="T48" fmla="*/ 5234940 w 5288280"/>
                                  <a:gd name="T49" fmla="*/ 1927860 h 2926080"/>
                                  <a:gd name="T50" fmla="*/ 4914900 w 5288280"/>
                                  <a:gd name="T51" fmla="*/ 1760220 h 2926080"/>
                                  <a:gd name="T52" fmla="*/ 5067300 w 5288280"/>
                                  <a:gd name="T53" fmla="*/ 1242060 h 2926080"/>
                                  <a:gd name="T54" fmla="*/ 5021580 w 5288280"/>
                                  <a:gd name="T55" fmla="*/ 1036320 h 2926080"/>
                                  <a:gd name="T56" fmla="*/ 5105400 w 5288280"/>
                                  <a:gd name="T57" fmla="*/ 1005840 h 2926080"/>
                                  <a:gd name="T58" fmla="*/ 4907280 w 5288280"/>
                                  <a:gd name="T59" fmla="*/ 144780 h 2926080"/>
                                  <a:gd name="T60" fmla="*/ 4686300 w 5288280"/>
                                  <a:gd name="T61" fmla="*/ 213360 h 2926080"/>
                                  <a:gd name="T62" fmla="*/ 3749040 w 5288280"/>
                                  <a:gd name="T63" fmla="*/ 76200 h 2926080"/>
                                  <a:gd name="T64" fmla="*/ 2743200 w 5288280"/>
                                  <a:gd name="T65" fmla="*/ 121920 h 2926080"/>
                                  <a:gd name="T66" fmla="*/ 2286000 w 5288280"/>
                                  <a:gd name="T67" fmla="*/ 320040 h 2926080"/>
                                  <a:gd name="T68" fmla="*/ 1630680 w 5288280"/>
                                  <a:gd name="T69" fmla="*/ 0 h 2926080"/>
                                  <a:gd name="T70" fmla="*/ 845820 w 5288280"/>
                                  <a:gd name="T71" fmla="*/ 152400 h 2926080"/>
                                  <a:gd name="T72" fmla="*/ 381000 w 5288280"/>
                                  <a:gd name="T73" fmla="*/ 121920 h 2926080"/>
                                  <a:gd name="T74" fmla="*/ 68580 w 5288280"/>
                                  <a:gd name="T75" fmla="*/ 213360 h 2926080"/>
                                  <a:gd name="T76" fmla="*/ 0 w 5288280"/>
                                  <a:gd name="T77" fmla="*/ 0 h 2926080"/>
                                  <a:gd name="T78" fmla="*/ 52902 w 5288280"/>
                                  <a:gd name="T79" fmla="*/ 29265 h 2926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T76" t="T77" r="T78" b="T79"/>
                                <a:pathLst>
                                  <a:path w="5288280" h="2926080">
                                    <a:moveTo>
                                      <a:pt x="68580" y="213360"/>
                                    </a:moveTo>
                                    <a:lnTo>
                                      <a:pt x="312420" y="1013460"/>
                                    </a:lnTo>
                                    <a:lnTo>
                                      <a:pt x="259080" y="1234440"/>
                                    </a:lnTo>
                                    <a:lnTo>
                                      <a:pt x="121920" y="1219200"/>
                                    </a:lnTo>
                                    <a:lnTo>
                                      <a:pt x="243840" y="1775460"/>
                                    </a:lnTo>
                                    <a:lnTo>
                                      <a:pt x="137160" y="1798320"/>
                                    </a:lnTo>
                                    <a:lnTo>
                                      <a:pt x="144780" y="1912620"/>
                                    </a:lnTo>
                                    <a:lnTo>
                                      <a:pt x="30480" y="1950720"/>
                                    </a:lnTo>
                                    <a:lnTo>
                                      <a:pt x="68580" y="2087880"/>
                                    </a:lnTo>
                                    <a:lnTo>
                                      <a:pt x="0" y="2103120"/>
                                    </a:lnTo>
                                    <a:lnTo>
                                      <a:pt x="121920" y="2735580"/>
                                    </a:lnTo>
                                    <a:lnTo>
                                      <a:pt x="1021080" y="2575560"/>
                                    </a:lnTo>
                                    <a:lnTo>
                                      <a:pt x="1440180" y="2788920"/>
                                    </a:lnTo>
                                    <a:lnTo>
                                      <a:pt x="2034540" y="2621280"/>
                                    </a:lnTo>
                                    <a:lnTo>
                                      <a:pt x="2316480" y="2659380"/>
                                    </a:lnTo>
                                    <a:lnTo>
                                      <a:pt x="2324100" y="2819400"/>
                                    </a:lnTo>
                                    <a:lnTo>
                                      <a:pt x="3360420" y="2842260"/>
                                    </a:lnTo>
                                    <a:lnTo>
                                      <a:pt x="3642360" y="2926080"/>
                                    </a:lnTo>
                                    <a:lnTo>
                                      <a:pt x="4419600" y="2628900"/>
                                    </a:lnTo>
                                    <a:lnTo>
                                      <a:pt x="4953000" y="2880360"/>
                                    </a:lnTo>
                                    <a:lnTo>
                                      <a:pt x="5257800" y="2247900"/>
                                    </a:lnTo>
                                    <a:lnTo>
                                      <a:pt x="5219700" y="2232660"/>
                                    </a:lnTo>
                                    <a:lnTo>
                                      <a:pt x="5288280" y="2110740"/>
                                    </a:lnTo>
                                    <a:lnTo>
                                      <a:pt x="5181600" y="2072640"/>
                                    </a:lnTo>
                                    <a:lnTo>
                                      <a:pt x="5234940" y="1927860"/>
                                    </a:lnTo>
                                    <a:lnTo>
                                      <a:pt x="4914900" y="1760220"/>
                                    </a:lnTo>
                                    <a:lnTo>
                                      <a:pt x="5067300" y="1242060"/>
                                    </a:lnTo>
                                    <a:lnTo>
                                      <a:pt x="5021580" y="1036320"/>
                                    </a:lnTo>
                                    <a:lnTo>
                                      <a:pt x="5105400" y="1005840"/>
                                    </a:lnTo>
                                    <a:lnTo>
                                      <a:pt x="4907280" y="144780"/>
                                    </a:lnTo>
                                    <a:lnTo>
                                      <a:pt x="4686300" y="213360"/>
                                    </a:lnTo>
                                    <a:lnTo>
                                      <a:pt x="3749040" y="76200"/>
                                    </a:lnTo>
                                    <a:lnTo>
                                      <a:pt x="2743200" y="121920"/>
                                    </a:lnTo>
                                    <a:lnTo>
                                      <a:pt x="2286000" y="320040"/>
                                    </a:lnTo>
                                    <a:lnTo>
                                      <a:pt x="1630680" y="0"/>
                                    </a:lnTo>
                                    <a:lnTo>
                                      <a:pt x="845820" y="152400"/>
                                    </a:lnTo>
                                    <a:lnTo>
                                      <a:pt x="381000" y="121920"/>
                                    </a:lnTo>
                                    <a:lnTo>
                                      <a:pt x="68580" y="21336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B5260" w:rsidRDefault="000B5260">
                                  <w:pPr>
                                    <w:ind w:firstLine="360"/>
                                  </w:pPr>
                                </w:p>
                              </w:txbxContent>
                            </wps:txbx>
                            <wps:bodyPr rot="0" vert="horz" wrap="square" lIns="91440" tIns="45720" rIns="91440" bIns="45720" anchor="t" anchorCtr="0" upright="1">
                              <a:noAutofit/>
                            </wps:bodyPr>
                          </wps:wsp>
                        </wpg:grpSp>
                        <wps:wsp>
                          <wps:cNvPr id="129" name="TextBox 19"/>
                          <wps:cNvSpPr>
                            <a:spLocks noChangeArrowheads="1"/>
                          </wps:cNvSpPr>
                          <wps:spPr bwMode="auto">
                            <a:xfrm>
                              <a:off x="857" y="516"/>
                              <a:ext cx="743"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260" w:rsidRDefault="000B5260">
                                <w:pPr>
                                  <w:pStyle w:val="ad"/>
                                  <w:spacing w:before="0" w:beforeAutospacing="0" w:after="0" w:afterAutospacing="0"/>
                                  <w:ind w:firstLineChars="0" w:firstLine="0"/>
                                  <w:textAlignment w:val="baseline"/>
                                  <w:rPr>
                                    <w:rFonts w:cs="Times New Roman"/>
                                    <w:sz w:val="21"/>
                                    <w:szCs w:val="21"/>
                                  </w:rPr>
                                </w:pPr>
                                <w:r>
                                  <w:rPr>
                                    <w:rFonts w:cs="Times New Roman"/>
                                    <w:b/>
                                    <w:bCs/>
                                    <w:color w:val="000000"/>
                                    <w:kern w:val="24"/>
                                    <w:sz w:val="21"/>
                                    <w:szCs w:val="21"/>
                                  </w:rPr>
                                  <w:t>74%</w:t>
                                </w:r>
                              </w:p>
                            </w:txbxContent>
                          </wps:txbx>
                          <wps:bodyPr rot="0" vert="horz" wrap="square" lIns="91440" tIns="45720" rIns="91440" bIns="45720" anchor="t" anchorCtr="0" upright="1">
                            <a:noAutofit/>
                          </wps:bodyPr>
                        </wps:wsp>
                      </wpg:grpSp>
                      <wpg:grpSp>
                        <wpg:cNvPr id="130" name="组合 1095"/>
                        <wpg:cNvGrpSpPr>
                          <a:grpSpLocks/>
                        </wpg:cNvGrpSpPr>
                        <wpg:grpSpPr bwMode="auto">
                          <a:xfrm>
                            <a:off x="3207" y="225"/>
                            <a:ext cx="1887" cy="2408"/>
                            <a:chOff x="0" y="0"/>
                            <a:chExt cx="1887" cy="2409"/>
                          </a:xfrm>
                        </wpg:grpSpPr>
                        <wpg:grpSp>
                          <wpg:cNvPr id="131" name="组合 1096"/>
                          <wpg:cNvGrpSpPr>
                            <a:grpSpLocks/>
                          </wpg:cNvGrpSpPr>
                          <wpg:grpSpPr bwMode="auto">
                            <a:xfrm>
                              <a:off x="0" y="0"/>
                              <a:ext cx="1887" cy="2409"/>
                              <a:chOff x="0" y="0"/>
                              <a:chExt cx="1887" cy="2409"/>
                            </a:xfrm>
                          </wpg:grpSpPr>
                          <wps:wsp>
                            <wps:cNvPr id="132" name="任意多边形 23"/>
                            <wps:cNvSpPr>
                              <a:spLocks noChangeArrowheads="1"/>
                            </wps:cNvSpPr>
                            <wps:spPr bwMode="auto">
                              <a:xfrm>
                                <a:off x="207" y="1772"/>
                                <a:ext cx="1680" cy="637"/>
                              </a:xfrm>
                              <a:custGeom>
                                <a:avLst/>
                                <a:gdLst>
                                  <a:gd name="T0" fmla="*/ 107950 w 3060700"/>
                                  <a:gd name="T1" fmla="*/ 527050 h 920750"/>
                                  <a:gd name="T2" fmla="*/ 107950 w 3060700"/>
                                  <a:gd name="T3" fmla="*/ 527050 h 920750"/>
                                  <a:gd name="T4" fmla="*/ 381000 w 3060700"/>
                                  <a:gd name="T5" fmla="*/ 641350 h 920750"/>
                                  <a:gd name="T6" fmla="*/ 781050 w 3060700"/>
                                  <a:gd name="T7" fmla="*/ 749300 h 920750"/>
                                  <a:gd name="T8" fmla="*/ 1136650 w 3060700"/>
                                  <a:gd name="T9" fmla="*/ 647700 h 920750"/>
                                  <a:gd name="T10" fmla="*/ 2012950 w 3060700"/>
                                  <a:gd name="T11" fmla="*/ 533400 h 920750"/>
                                  <a:gd name="T12" fmla="*/ 2482850 w 3060700"/>
                                  <a:gd name="T13" fmla="*/ 628650 h 920750"/>
                                  <a:gd name="T14" fmla="*/ 2603500 w 3060700"/>
                                  <a:gd name="T15" fmla="*/ 698500 h 920750"/>
                                  <a:gd name="T16" fmla="*/ 2781300 w 3060700"/>
                                  <a:gd name="T17" fmla="*/ 920750 h 920750"/>
                                  <a:gd name="T18" fmla="*/ 3009900 w 3060700"/>
                                  <a:gd name="T19" fmla="*/ 895350 h 920750"/>
                                  <a:gd name="T20" fmla="*/ 3060700 w 3060700"/>
                                  <a:gd name="T21" fmla="*/ 412750 h 920750"/>
                                  <a:gd name="T22" fmla="*/ 2959100 w 3060700"/>
                                  <a:gd name="T23" fmla="*/ 19050 h 920750"/>
                                  <a:gd name="T24" fmla="*/ 2095500 w 3060700"/>
                                  <a:gd name="T25" fmla="*/ 107950 h 920750"/>
                                  <a:gd name="T26" fmla="*/ 1289050 w 3060700"/>
                                  <a:gd name="T27" fmla="*/ 82550 h 920750"/>
                                  <a:gd name="T28" fmla="*/ 1022350 w 3060700"/>
                                  <a:gd name="T29" fmla="*/ 69850 h 920750"/>
                                  <a:gd name="T30" fmla="*/ 584200 w 3060700"/>
                                  <a:gd name="T31" fmla="*/ 101600 h 920750"/>
                                  <a:gd name="T32" fmla="*/ 114300 w 3060700"/>
                                  <a:gd name="T33" fmla="*/ 0 h 920750"/>
                                  <a:gd name="T34" fmla="*/ 6350 w 3060700"/>
                                  <a:gd name="T35" fmla="*/ 146050 h 920750"/>
                                  <a:gd name="T36" fmla="*/ 0 w 3060700"/>
                                  <a:gd name="T37" fmla="*/ 292100 h 920750"/>
                                  <a:gd name="T38" fmla="*/ 44450 w 3060700"/>
                                  <a:gd name="T39" fmla="*/ 450850 h 920750"/>
                                  <a:gd name="T40" fmla="*/ 107950 w 3060700"/>
                                  <a:gd name="T41" fmla="*/ 527050 h 920750"/>
                                  <a:gd name="T42" fmla="*/ 0 w 3060700"/>
                                  <a:gd name="T43" fmla="*/ 0 h 920750"/>
                                  <a:gd name="T44" fmla="*/ 30577 w 3060700"/>
                                  <a:gd name="T45" fmla="*/ 9209 h 920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3060700" h="920750">
                                    <a:moveTo>
                                      <a:pt x="107950" y="527050"/>
                                    </a:moveTo>
                                    <a:lnTo>
                                      <a:pt x="107950" y="527050"/>
                                    </a:lnTo>
                                    <a:lnTo>
                                      <a:pt x="381000" y="641350"/>
                                    </a:lnTo>
                                    <a:lnTo>
                                      <a:pt x="781050" y="749300"/>
                                    </a:lnTo>
                                    <a:lnTo>
                                      <a:pt x="1136650" y="647700"/>
                                    </a:lnTo>
                                    <a:lnTo>
                                      <a:pt x="2012950" y="533400"/>
                                    </a:lnTo>
                                    <a:lnTo>
                                      <a:pt x="2482850" y="628650"/>
                                    </a:lnTo>
                                    <a:lnTo>
                                      <a:pt x="2603500" y="698500"/>
                                    </a:lnTo>
                                    <a:lnTo>
                                      <a:pt x="2781300" y="920750"/>
                                    </a:lnTo>
                                    <a:lnTo>
                                      <a:pt x="3009900" y="895350"/>
                                    </a:lnTo>
                                    <a:lnTo>
                                      <a:pt x="3060700" y="412750"/>
                                    </a:lnTo>
                                    <a:lnTo>
                                      <a:pt x="2959100" y="19050"/>
                                    </a:lnTo>
                                    <a:lnTo>
                                      <a:pt x="2095500" y="107950"/>
                                    </a:lnTo>
                                    <a:lnTo>
                                      <a:pt x="1289050" y="82550"/>
                                    </a:lnTo>
                                    <a:lnTo>
                                      <a:pt x="1022350" y="69850"/>
                                    </a:lnTo>
                                    <a:lnTo>
                                      <a:pt x="584200" y="101600"/>
                                    </a:lnTo>
                                    <a:lnTo>
                                      <a:pt x="114300" y="0"/>
                                    </a:lnTo>
                                    <a:lnTo>
                                      <a:pt x="6350" y="146050"/>
                                    </a:lnTo>
                                    <a:lnTo>
                                      <a:pt x="0" y="292100"/>
                                    </a:lnTo>
                                    <a:lnTo>
                                      <a:pt x="44450" y="450850"/>
                                    </a:lnTo>
                                    <a:lnTo>
                                      <a:pt x="107950" y="527050"/>
                                    </a:lnTo>
                                    <a:close/>
                                  </a:path>
                                </a:pathLst>
                              </a:custGeom>
                              <a:solidFill>
                                <a:srgbClr val="FFFFFF"/>
                              </a:solidFill>
                              <a:ln w="9525">
                                <a:solidFill>
                                  <a:srgbClr val="A6A6A6"/>
                                </a:solidFill>
                                <a:round/>
                                <a:headEnd/>
                                <a:tailEnd/>
                              </a:ln>
                            </wps:spPr>
                            <wps:txbx>
                              <w:txbxContent>
                                <w:p w:rsidR="000B5260" w:rsidRDefault="000B5260">
                                  <w:pPr>
                                    <w:ind w:firstLine="360"/>
                                  </w:pPr>
                                </w:p>
                              </w:txbxContent>
                            </wps:txbx>
                            <wps:bodyPr rot="0" vert="horz" wrap="square" lIns="91440" tIns="45720" rIns="91440" bIns="45720" anchor="t" anchorCtr="0" upright="1">
                              <a:noAutofit/>
                            </wps:bodyPr>
                          </wps:wsp>
                          <wps:wsp>
                            <wps:cNvPr id="133" name="任意多边形 24"/>
                            <wps:cNvSpPr>
                              <a:spLocks noChangeArrowheads="1"/>
                            </wps:cNvSpPr>
                            <wps:spPr bwMode="auto">
                              <a:xfrm>
                                <a:off x="0" y="0"/>
                                <a:ext cx="1783" cy="1767"/>
                              </a:xfrm>
                              <a:custGeom>
                                <a:avLst/>
                                <a:gdLst>
                                  <a:gd name="T0" fmla="*/ 3244850 w 3244850"/>
                                  <a:gd name="T1" fmla="*/ 2432050 h 2559050"/>
                                  <a:gd name="T2" fmla="*/ 2705100 w 3244850"/>
                                  <a:gd name="T3" fmla="*/ 2540000 h 2559050"/>
                                  <a:gd name="T4" fmla="*/ 2355850 w 3244850"/>
                                  <a:gd name="T5" fmla="*/ 2559050 h 2559050"/>
                                  <a:gd name="T6" fmla="*/ 1631950 w 3244850"/>
                                  <a:gd name="T7" fmla="*/ 2520950 h 2559050"/>
                                  <a:gd name="T8" fmla="*/ 1200150 w 3244850"/>
                                  <a:gd name="T9" fmla="*/ 2546350 h 2559050"/>
                                  <a:gd name="T10" fmla="*/ 800100 w 3244850"/>
                                  <a:gd name="T11" fmla="*/ 2520950 h 2559050"/>
                                  <a:gd name="T12" fmla="*/ 488950 w 3244850"/>
                                  <a:gd name="T13" fmla="*/ 2444750 h 2559050"/>
                                  <a:gd name="T14" fmla="*/ 171450 w 3244850"/>
                                  <a:gd name="T15" fmla="*/ 2292350 h 2559050"/>
                                  <a:gd name="T16" fmla="*/ 0 w 3244850"/>
                                  <a:gd name="T17" fmla="*/ 2260600 h 2559050"/>
                                  <a:gd name="T18" fmla="*/ 152400 w 3244850"/>
                                  <a:gd name="T19" fmla="*/ 1314450 h 2559050"/>
                                  <a:gd name="T20" fmla="*/ 495300 w 3244850"/>
                                  <a:gd name="T21" fmla="*/ 1130300 h 2559050"/>
                                  <a:gd name="T22" fmla="*/ 552450 w 3244850"/>
                                  <a:gd name="T23" fmla="*/ 990600 h 2559050"/>
                                  <a:gd name="T24" fmla="*/ 552450 w 3244850"/>
                                  <a:gd name="T25" fmla="*/ 825500 h 2559050"/>
                                  <a:gd name="T26" fmla="*/ 488950 w 3244850"/>
                                  <a:gd name="T27" fmla="*/ 647700 h 2559050"/>
                                  <a:gd name="T28" fmla="*/ 520700 w 3244850"/>
                                  <a:gd name="T29" fmla="*/ 577850 h 2559050"/>
                                  <a:gd name="T30" fmla="*/ 774700 w 3244850"/>
                                  <a:gd name="T31" fmla="*/ 660400 h 2559050"/>
                                  <a:gd name="T32" fmla="*/ 965200 w 3244850"/>
                                  <a:gd name="T33" fmla="*/ 381000 h 2559050"/>
                                  <a:gd name="T34" fmla="*/ 965200 w 3244850"/>
                                  <a:gd name="T35" fmla="*/ 260350 h 2559050"/>
                                  <a:gd name="T36" fmla="*/ 1371600 w 3244850"/>
                                  <a:gd name="T37" fmla="*/ 0 h 2559050"/>
                                  <a:gd name="T38" fmla="*/ 1511300 w 3244850"/>
                                  <a:gd name="T39" fmla="*/ 361950 h 2559050"/>
                                  <a:gd name="T40" fmla="*/ 1892300 w 3244850"/>
                                  <a:gd name="T41" fmla="*/ 196850 h 2559050"/>
                                  <a:gd name="T42" fmla="*/ 2063750 w 3244850"/>
                                  <a:gd name="T43" fmla="*/ 552450 h 2559050"/>
                                  <a:gd name="T44" fmla="*/ 1822450 w 3244850"/>
                                  <a:gd name="T45" fmla="*/ 806450 h 2559050"/>
                                  <a:gd name="T46" fmla="*/ 1733550 w 3244850"/>
                                  <a:gd name="T47" fmla="*/ 984250 h 2559050"/>
                                  <a:gd name="T48" fmla="*/ 2044700 w 3244850"/>
                                  <a:gd name="T49" fmla="*/ 1143000 h 2559050"/>
                                  <a:gd name="T50" fmla="*/ 2451100 w 3244850"/>
                                  <a:gd name="T51" fmla="*/ 1250950 h 2559050"/>
                                  <a:gd name="T52" fmla="*/ 2857500 w 3244850"/>
                                  <a:gd name="T53" fmla="*/ 1504950 h 2559050"/>
                                  <a:gd name="T54" fmla="*/ 3073400 w 3244850"/>
                                  <a:gd name="T55" fmla="*/ 1752600 h 2559050"/>
                                  <a:gd name="T56" fmla="*/ 3219450 w 3244850"/>
                                  <a:gd name="T57" fmla="*/ 2076450 h 2559050"/>
                                  <a:gd name="T58" fmla="*/ 3244850 w 3244850"/>
                                  <a:gd name="T59" fmla="*/ 2432050 h 2559050"/>
                                  <a:gd name="T60" fmla="*/ 0 w 3244850"/>
                                  <a:gd name="T61" fmla="*/ 0 h 2559050"/>
                                  <a:gd name="T62" fmla="*/ 32440 w 3244850"/>
                                  <a:gd name="T63" fmla="*/ 25579 h 25590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T60" t="T61" r="T62" b="T63"/>
                                <a:pathLst>
                                  <a:path w="3244850" h="2559050">
                                    <a:moveTo>
                                      <a:pt x="3244850" y="2432050"/>
                                    </a:moveTo>
                                    <a:lnTo>
                                      <a:pt x="2705100" y="2540000"/>
                                    </a:lnTo>
                                    <a:lnTo>
                                      <a:pt x="2355850" y="2559050"/>
                                    </a:lnTo>
                                    <a:lnTo>
                                      <a:pt x="1631950" y="2520950"/>
                                    </a:lnTo>
                                    <a:lnTo>
                                      <a:pt x="1200150" y="2546350"/>
                                    </a:lnTo>
                                    <a:lnTo>
                                      <a:pt x="800100" y="2520950"/>
                                    </a:lnTo>
                                    <a:lnTo>
                                      <a:pt x="488950" y="2444750"/>
                                    </a:lnTo>
                                    <a:lnTo>
                                      <a:pt x="171450" y="2292350"/>
                                    </a:lnTo>
                                    <a:lnTo>
                                      <a:pt x="0" y="2260600"/>
                                    </a:lnTo>
                                    <a:lnTo>
                                      <a:pt x="152400" y="1314450"/>
                                    </a:lnTo>
                                    <a:lnTo>
                                      <a:pt x="495300" y="1130300"/>
                                    </a:lnTo>
                                    <a:lnTo>
                                      <a:pt x="552450" y="990600"/>
                                    </a:lnTo>
                                    <a:lnTo>
                                      <a:pt x="552450" y="825500"/>
                                    </a:lnTo>
                                    <a:lnTo>
                                      <a:pt x="488950" y="647700"/>
                                    </a:lnTo>
                                    <a:lnTo>
                                      <a:pt x="520700" y="577850"/>
                                    </a:lnTo>
                                    <a:lnTo>
                                      <a:pt x="774700" y="660400"/>
                                    </a:lnTo>
                                    <a:lnTo>
                                      <a:pt x="965200" y="381000"/>
                                    </a:lnTo>
                                    <a:lnTo>
                                      <a:pt x="965200" y="260350"/>
                                    </a:lnTo>
                                    <a:lnTo>
                                      <a:pt x="1371600" y="0"/>
                                    </a:lnTo>
                                    <a:lnTo>
                                      <a:pt x="1511300" y="361950"/>
                                    </a:lnTo>
                                    <a:lnTo>
                                      <a:pt x="1892300" y="196850"/>
                                    </a:lnTo>
                                    <a:lnTo>
                                      <a:pt x="2063750" y="552450"/>
                                    </a:lnTo>
                                    <a:lnTo>
                                      <a:pt x="1822450" y="806450"/>
                                    </a:lnTo>
                                    <a:lnTo>
                                      <a:pt x="1733550" y="984250"/>
                                    </a:lnTo>
                                    <a:lnTo>
                                      <a:pt x="2044700" y="1143000"/>
                                    </a:lnTo>
                                    <a:lnTo>
                                      <a:pt x="2451100" y="1250950"/>
                                    </a:lnTo>
                                    <a:lnTo>
                                      <a:pt x="2857500" y="1504950"/>
                                    </a:lnTo>
                                    <a:lnTo>
                                      <a:pt x="3073400" y="1752600"/>
                                    </a:lnTo>
                                    <a:lnTo>
                                      <a:pt x="3219450" y="2076450"/>
                                    </a:lnTo>
                                    <a:lnTo>
                                      <a:pt x="3244850" y="2432050"/>
                                    </a:lnTo>
                                    <a:close/>
                                  </a:path>
                                </a:pathLst>
                              </a:custGeom>
                              <a:solidFill>
                                <a:srgbClr val="FFFFFF"/>
                              </a:solidFill>
                              <a:ln w="9525">
                                <a:solidFill>
                                  <a:srgbClr val="A6A6A6"/>
                                </a:solidFill>
                                <a:round/>
                                <a:headEnd/>
                                <a:tailEnd/>
                              </a:ln>
                            </wps:spPr>
                            <wps:txbx>
                              <w:txbxContent>
                                <w:p w:rsidR="000B5260" w:rsidRDefault="000B5260">
                                  <w:pPr>
                                    <w:ind w:firstLine="360"/>
                                  </w:pPr>
                                </w:p>
                              </w:txbxContent>
                            </wps:txbx>
                            <wps:bodyPr rot="0" vert="horz" wrap="square" lIns="91440" tIns="45720" rIns="91440" bIns="45720" anchor="t" anchorCtr="0" upright="1">
                              <a:noAutofit/>
                            </wps:bodyPr>
                          </wps:wsp>
                          <wps:wsp>
                            <wps:cNvPr id="134" name="任意多边形 25"/>
                            <wps:cNvSpPr>
                              <a:spLocks noChangeArrowheads="1"/>
                            </wps:cNvSpPr>
                            <wps:spPr bwMode="auto">
                              <a:xfrm>
                                <a:off x="1022" y="1121"/>
                                <a:ext cx="634" cy="593"/>
                              </a:xfrm>
                              <a:custGeom>
                                <a:avLst/>
                                <a:gdLst>
                                  <a:gd name="T0" fmla="*/ 1155700 w 1155700"/>
                                  <a:gd name="T1" fmla="*/ 810197 h 860997"/>
                                  <a:gd name="T2" fmla="*/ 1054100 w 1155700"/>
                                  <a:gd name="T3" fmla="*/ 549847 h 860997"/>
                                  <a:gd name="T4" fmla="*/ 984250 w 1155700"/>
                                  <a:gd name="T5" fmla="*/ 219647 h 860997"/>
                                  <a:gd name="T6" fmla="*/ 114300 w 1155700"/>
                                  <a:gd name="T7" fmla="*/ 276797 h 860997"/>
                                  <a:gd name="T8" fmla="*/ 101600 w 1155700"/>
                                  <a:gd name="T9" fmla="*/ 568897 h 860997"/>
                                  <a:gd name="T10" fmla="*/ 0 w 1155700"/>
                                  <a:gd name="T11" fmla="*/ 835597 h 860997"/>
                                  <a:gd name="T12" fmla="*/ 628650 w 1155700"/>
                                  <a:gd name="T13" fmla="*/ 860997 h 860997"/>
                                  <a:gd name="T14" fmla="*/ 1155700 w 1155700"/>
                                  <a:gd name="T15" fmla="*/ 810197 h 860997"/>
                                  <a:gd name="T16" fmla="*/ 0 w 1155700"/>
                                  <a:gd name="T17" fmla="*/ 0 h 860997"/>
                                  <a:gd name="T18" fmla="*/ 11545 w 1155700"/>
                                  <a:gd name="T19" fmla="*/ 8588 h 860997"/>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1155700" h="860997">
                                    <a:moveTo>
                                      <a:pt x="1155700" y="810197"/>
                                    </a:moveTo>
                                    <a:lnTo>
                                      <a:pt x="1054100" y="549847"/>
                                    </a:lnTo>
                                    <a:lnTo>
                                      <a:pt x="984250" y="219647"/>
                                    </a:lnTo>
                                    <a:cubicBezTo>
                                      <a:pt x="732367" y="-85153"/>
                                      <a:pt x="359833" y="-78803"/>
                                      <a:pt x="114300" y="276797"/>
                                    </a:cubicBezTo>
                                    <a:lnTo>
                                      <a:pt x="101600" y="568897"/>
                                    </a:lnTo>
                                    <a:lnTo>
                                      <a:pt x="0" y="835597"/>
                                    </a:lnTo>
                                    <a:lnTo>
                                      <a:pt x="628650" y="860997"/>
                                    </a:lnTo>
                                    <a:lnTo>
                                      <a:pt x="1155700" y="810197"/>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B5260" w:rsidRDefault="000B5260">
                                  <w:pPr>
                                    <w:ind w:firstLine="360"/>
                                  </w:pPr>
                                </w:p>
                              </w:txbxContent>
                            </wps:txbx>
                            <wps:bodyPr rot="0" vert="horz" wrap="square" lIns="91440" tIns="45720" rIns="91440" bIns="45720" anchor="t" anchorCtr="0" upright="1">
                              <a:noAutofit/>
                            </wps:bodyPr>
                          </wps:wsp>
                          <wps:wsp>
                            <wps:cNvPr id="136" name="任意多边形 26"/>
                            <wps:cNvSpPr>
                              <a:spLocks noChangeArrowheads="1"/>
                            </wps:cNvSpPr>
                            <wps:spPr bwMode="auto">
                              <a:xfrm>
                                <a:off x="28" y="83"/>
                                <a:ext cx="1084" cy="1629"/>
                              </a:xfrm>
                              <a:custGeom>
                                <a:avLst/>
                                <a:gdLst>
                                  <a:gd name="T0" fmla="*/ 1435100 w 1974850"/>
                                  <a:gd name="T1" fmla="*/ 2317750 h 2355850"/>
                                  <a:gd name="T2" fmla="*/ 1441450 w 1974850"/>
                                  <a:gd name="T3" fmla="*/ 1943100 h 2355850"/>
                                  <a:gd name="T4" fmla="*/ 1524000 w 1974850"/>
                                  <a:gd name="T5" fmla="*/ 1752600 h 2355850"/>
                                  <a:gd name="T6" fmla="*/ 1682750 w 1974850"/>
                                  <a:gd name="T7" fmla="*/ 1574800 h 2355850"/>
                                  <a:gd name="T8" fmla="*/ 1752600 w 1974850"/>
                                  <a:gd name="T9" fmla="*/ 1339850 h 2355850"/>
                                  <a:gd name="T10" fmla="*/ 1733550 w 1974850"/>
                                  <a:gd name="T11" fmla="*/ 971550 h 2355850"/>
                                  <a:gd name="T12" fmla="*/ 1663700 w 1974850"/>
                                  <a:gd name="T13" fmla="*/ 831850 h 2355850"/>
                                  <a:gd name="T14" fmla="*/ 1758950 w 1974850"/>
                                  <a:gd name="T15" fmla="*/ 628650 h 2355850"/>
                                  <a:gd name="T16" fmla="*/ 1974850 w 1974850"/>
                                  <a:gd name="T17" fmla="*/ 444500 h 2355850"/>
                                  <a:gd name="T18" fmla="*/ 1816100 w 1974850"/>
                                  <a:gd name="T19" fmla="*/ 101600 h 2355850"/>
                                  <a:gd name="T20" fmla="*/ 1473200 w 1974850"/>
                                  <a:gd name="T21" fmla="*/ 317500 h 2355850"/>
                                  <a:gd name="T22" fmla="*/ 1276350 w 1974850"/>
                                  <a:gd name="T23" fmla="*/ 241300 h 2355850"/>
                                  <a:gd name="T24" fmla="*/ 1327150 w 1974850"/>
                                  <a:gd name="T25" fmla="*/ 171450 h 2355850"/>
                                  <a:gd name="T26" fmla="*/ 1244600 w 1974850"/>
                                  <a:gd name="T27" fmla="*/ 0 h 2355850"/>
                                  <a:gd name="T28" fmla="*/ 1123950 w 1974850"/>
                                  <a:gd name="T29" fmla="*/ 25400 h 2355850"/>
                                  <a:gd name="T30" fmla="*/ 927100 w 1974850"/>
                                  <a:gd name="T31" fmla="*/ 149225 h 2355850"/>
                                  <a:gd name="T32" fmla="*/ 927100 w 1974850"/>
                                  <a:gd name="T33" fmla="*/ 257175 h 2355850"/>
                                  <a:gd name="T34" fmla="*/ 746125 w 1974850"/>
                                  <a:gd name="T35" fmla="*/ 561975 h 2355850"/>
                                  <a:gd name="T36" fmla="*/ 660400 w 1974850"/>
                                  <a:gd name="T37" fmla="*/ 615950 h 2355850"/>
                                  <a:gd name="T38" fmla="*/ 565150 w 1974850"/>
                                  <a:gd name="T39" fmla="*/ 501650 h 2355850"/>
                                  <a:gd name="T40" fmla="*/ 495300 w 1974850"/>
                                  <a:gd name="T41" fmla="*/ 539750 h 2355850"/>
                                  <a:gd name="T42" fmla="*/ 520700 w 1974850"/>
                                  <a:gd name="T43" fmla="*/ 641350 h 2355850"/>
                                  <a:gd name="T44" fmla="*/ 565150 w 1974850"/>
                                  <a:gd name="T45" fmla="*/ 939800 h 2355850"/>
                                  <a:gd name="T46" fmla="*/ 476250 w 1974850"/>
                                  <a:gd name="T47" fmla="*/ 1003300 h 2355850"/>
                                  <a:gd name="T48" fmla="*/ 127000 w 1974850"/>
                                  <a:gd name="T49" fmla="*/ 1206500 h 2355850"/>
                                  <a:gd name="T50" fmla="*/ 0 w 1974850"/>
                                  <a:gd name="T51" fmla="*/ 1860550 h 2355850"/>
                                  <a:gd name="T52" fmla="*/ 120650 w 1974850"/>
                                  <a:gd name="T53" fmla="*/ 1873250 h 2355850"/>
                                  <a:gd name="T54" fmla="*/ 292100 w 1974850"/>
                                  <a:gd name="T55" fmla="*/ 2171700 h 2355850"/>
                                  <a:gd name="T56" fmla="*/ 984250 w 1974850"/>
                                  <a:gd name="T57" fmla="*/ 2355850 h 2355850"/>
                                  <a:gd name="T58" fmla="*/ 1250950 w 1974850"/>
                                  <a:gd name="T59" fmla="*/ 2324100 h 2355850"/>
                                  <a:gd name="T60" fmla="*/ 1301750 w 1974850"/>
                                  <a:gd name="T61" fmla="*/ 2330450 h 2355850"/>
                                  <a:gd name="T62" fmla="*/ 1435100 w 1974850"/>
                                  <a:gd name="T63" fmla="*/ 2317750 h 2355850"/>
                                  <a:gd name="T64" fmla="*/ 0 w 1974850"/>
                                  <a:gd name="T65" fmla="*/ 0 h 2355850"/>
                                  <a:gd name="T66" fmla="*/ 19727 w 1974850"/>
                                  <a:gd name="T67" fmla="*/ 23569 h 23558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T64" t="T65" r="T66" b="T67"/>
                                <a:pathLst>
                                  <a:path w="1974850" h="2355850">
                                    <a:moveTo>
                                      <a:pt x="1435100" y="2317750"/>
                                    </a:moveTo>
                                    <a:lnTo>
                                      <a:pt x="1441450" y="1943100"/>
                                    </a:lnTo>
                                    <a:lnTo>
                                      <a:pt x="1524000" y="1752600"/>
                                    </a:lnTo>
                                    <a:lnTo>
                                      <a:pt x="1682750" y="1574800"/>
                                    </a:lnTo>
                                    <a:lnTo>
                                      <a:pt x="1752600" y="1339850"/>
                                    </a:lnTo>
                                    <a:lnTo>
                                      <a:pt x="1733550" y="971550"/>
                                    </a:lnTo>
                                    <a:lnTo>
                                      <a:pt x="1663700" y="831850"/>
                                    </a:lnTo>
                                    <a:lnTo>
                                      <a:pt x="1758950" y="628650"/>
                                    </a:lnTo>
                                    <a:lnTo>
                                      <a:pt x="1974850" y="444500"/>
                                    </a:lnTo>
                                    <a:lnTo>
                                      <a:pt x="1816100" y="101600"/>
                                    </a:lnTo>
                                    <a:lnTo>
                                      <a:pt x="1473200" y="317500"/>
                                    </a:lnTo>
                                    <a:lnTo>
                                      <a:pt x="1276350" y="241300"/>
                                    </a:lnTo>
                                    <a:lnTo>
                                      <a:pt x="1327150" y="171450"/>
                                    </a:lnTo>
                                    <a:lnTo>
                                      <a:pt x="1244600" y="0"/>
                                    </a:lnTo>
                                    <a:lnTo>
                                      <a:pt x="1123950" y="25400"/>
                                    </a:lnTo>
                                    <a:lnTo>
                                      <a:pt x="927100" y="149225"/>
                                    </a:lnTo>
                                    <a:lnTo>
                                      <a:pt x="927100" y="257175"/>
                                    </a:lnTo>
                                    <a:lnTo>
                                      <a:pt x="746125" y="561975"/>
                                    </a:lnTo>
                                    <a:lnTo>
                                      <a:pt x="660400" y="615950"/>
                                    </a:lnTo>
                                    <a:lnTo>
                                      <a:pt x="565150" y="501650"/>
                                    </a:lnTo>
                                    <a:lnTo>
                                      <a:pt x="495300" y="539750"/>
                                    </a:lnTo>
                                    <a:lnTo>
                                      <a:pt x="520700" y="641350"/>
                                    </a:lnTo>
                                    <a:lnTo>
                                      <a:pt x="565150" y="939800"/>
                                    </a:lnTo>
                                    <a:lnTo>
                                      <a:pt x="476250" y="1003300"/>
                                    </a:lnTo>
                                    <a:lnTo>
                                      <a:pt x="127000" y="1206500"/>
                                    </a:lnTo>
                                    <a:lnTo>
                                      <a:pt x="0" y="1860550"/>
                                    </a:lnTo>
                                    <a:lnTo>
                                      <a:pt x="120650" y="1873250"/>
                                    </a:lnTo>
                                    <a:lnTo>
                                      <a:pt x="292100" y="2171700"/>
                                    </a:lnTo>
                                    <a:lnTo>
                                      <a:pt x="984250" y="2355850"/>
                                    </a:lnTo>
                                    <a:lnTo>
                                      <a:pt x="1250950" y="2324100"/>
                                    </a:lnTo>
                                    <a:lnTo>
                                      <a:pt x="1301750" y="2330450"/>
                                    </a:lnTo>
                                    <a:lnTo>
                                      <a:pt x="1435100" y="231775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B5260" w:rsidRDefault="000B5260">
                                  <w:pPr>
                                    <w:ind w:firstLine="360"/>
                                  </w:pPr>
                                </w:p>
                              </w:txbxContent>
                            </wps:txbx>
                            <wps:bodyPr rot="0" vert="horz" wrap="square" lIns="91440" tIns="45720" rIns="91440" bIns="45720" anchor="t" anchorCtr="0" upright="1">
                              <a:noAutofit/>
                            </wps:bodyPr>
                          </wps:wsp>
                          <wps:wsp>
                            <wps:cNvPr id="137" name="任意多边形 27"/>
                            <wps:cNvSpPr>
                              <a:spLocks noChangeArrowheads="1"/>
                            </wps:cNvSpPr>
                            <wps:spPr bwMode="auto">
                              <a:xfrm>
                                <a:off x="231" y="1820"/>
                                <a:ext cx="1357" cy="409"/>
                              </a:xfrm>
                              <a:custGeom>
                                <a:avLst/>
                                <a:gdLst>
                                  <a:gd name="T0" fmla="*/ 57150 w 2470150"/>
                                  <a:gd name="T1" fmla="*/ 0 h 590550"/>
                                  <a:gd name="T2" fmla="*/ 0 w 2470150"/>
                                  <a:gd name="T3" fmla="*/ 190500 h 590550"/>
                                  <a:gd name="T4" fmla="*/ 57150 w 2470150"/>
                                  <a:gd name="T5" fmla="*/ 209550 h 590550"/>
                                  <a:gd name="T6" fmla="*/ 31750 w 2470150"/>
                                  <a:gd name="T7" fmla="*/ 285750 h 590550"/>
                                  <a:gd name="T8" fmla="*/ 95250 w 2470150"/>
                                  <a:gd name="T9" fmla="*/ 298450 h 590550"/>
                                  <a:gd name="T10" fmla="*/ 88900 w 2470150"/>
                                  <a:gd name="T11" fmla="*/ 361950 h 590550"/>
                                  <a:gd name="T12" fmla="*/ 184150 w 2470150"/>
                                  <a:gd name="T13" fmla="*/ 387350 h 590550"/>
                                  <a:gd name="T14" fmla="*/ 768350 w 2470150"/>
                                  <a:gd name="T15" fmla="*/ 590550 h 590550"/>
                                  <a:gd name="T16" fmla="*/ 996950 w 2470150"/>
                                  <a:gd name="T17" fmla="*/ 552450 h 590550"/>
                                  <a:gd name="T18" fmla="*/ 1162050 w 2470150"/>
                                  <a:gd name="T19" fmla="*/ 488950 h 590550"/>
                                  <a:gd name="T20" fmla="*/ 1231900 w 2470150"/>
                                  <a:gd name="T21" fmla="*/ 393700 h 590550"/>
                                  <a:gd name="T22" fmla="*/ 1492250 w 2470150"/>
                                  <a:gd name="T23" fmla="*/ 444500 h 590550"/>
                                  <a:gd name="T24" fmla="*/ 1492250 w 2470150"/>
                                  <a:gd name="T25" fmla="*/ 374650 h 590550"/>
                                  <a:gd name="T26" fmla="*/ 1670050 w 2470150"/>
                                  <a:gd name="T27" fmla="*/ 425450 h 590550"/>
                                  <a:gd name="T28" fmla="*/ 2165350 w 2470150"/>
                                  <a:gd name="T29" fmla="*/ 368300 h 590550"/>
                                  <a:gd name="T30" fmla="*/ 2279650 w 2470150"/>
                                  <a:gd name="T31" fmla="*/ 387350 h 590550"/>
                                  <a:gd name="T32" fmla="*/ 2470150 w 2470150"/>
                                  <a:gd name="T33" fmla="*/ 330200 h 590550"/>
                                  <a:gd name="T34" fmla="*/ 2451100 w 2470150"/>
                                  <a:gd name="T35" fmla="*/ 63500 h 590550"/>
                                  <a:gd name="T36" fmla="*/ 2032000 w 2470150"/>
                                  <a:gd name="T37" fmla="*/ 95250 h 590550"/>
                                  <a:gd name="T38" fmla="*/ 1403350 w 2470150"/>
                                  <a:gd name="T39" fmla="*/ 57150 h 590550"/>
                                  <a:gd name="T40" fmla="*/ 1257300 w 2470150"/>
                                  <a:gd name="T41" fmla="*/ 57150 h 590550"/>
                                  <a:gd name="T42" fmla="*/ 654050 w 2470150"/>
                                  <a:gd name="T43" fmla="*/ 82550 h 590550"/>
                                  <a:gd name="T44" fmla="*/ 584200 w 2470150"/>
                                  <a:gd name="T45" fmla="*/ 101600 h 590550"/>
                                  <a:gd name="T46" fmla="*/ 273050 w 2470150"/>
                                  <a:gd name="T47" fmla="*/ 57150 h 590550"/>
                                  <a:gd name="T48" fmla="*/ 57150 w 2470150"/>
                                  <a:gd name="T49" fmla="*/ 0 h 590550"/>
                                  <a:gd name="T50" fmla="*/ 0 w 2470150"/>
                                  <a:gd name="T51" fmla="*/ 0 h 590550"/>
                                  <a:gd name="T52" fmla="*/ 24695 w 2470150"/>
                                  <a:gd name="T53" fmla="*/ 5920 h 590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2470150" h="590550">
                                    <a:moveTo>
                                      <a:pt x="57150" y="0"/>
                                    </a:moveTo>
                                    <a:lnTo>
                                      <a:pt x="0" y="190500"/>
                                    </a:lnTo>
                                    <a:lnTo>
                                      <a:pt x="57150" y="209550"/>
                                    </a:lnTo>
                                    <a:lnTo>
                                      <a:pt x="31750" y="285750"/>
                                    </a:lnTo>
                                    <a:lnTo>
                                      <a:pt x="95250" y="298450"/>
                                    </a:lnTo>
                                    <a:lnTo>
                                      <a:pt x="88900" y="361950"/>
                                    </a:lnTo>
                                    <a:lnTo>
                                      <a:pt x="184150" y="387350"/>
                                    </a:lnTo>
                                    <a:lnTo>
                                      <a:pt x="768350" y="590550"/>
                                    </a:lnTo>
                                    <a:lnTo>
                                      <a:pt x="996950" y="552450"/>
                                    </a:lnTo>
                                    <a:lnTo>
                                      <a:pt x="1162050" y="488950"/>
                                    </a:lnTo>
                                    <a:lnTo>
                                      <a:pt x="1231900" y="393700"/>
                                    </a:lnTo>
                                    <a:lnTo>
                                      <a:pt x="1492250" y="444500"/>
                                    </a:lnTo>
                                    <a:lnTo>
                                      <a:pt x="1492250" y="374650"/>
                                    </a:lnTo>
                                    <a:lnTo>
                                      <a:pt x="1670050" y="425450"/>
                                    </a:lnTo>
                                    <a:lnTo>
                                      <a:pt x="2165350" y="368300"/>
                                    </a:lnTo>
                                    <a:lnTo>
                                      <a:pt x="2279650" y="387350"/>
                                    </a:lnTo>
                                    <a:lnTo>
                                      <a:pt x="2470150" y="330200"/>
                                    </a:lnTo>
                                    <a:lnTo>
                                      <a:pt x="2451100" y="63500"/>
                                    </a:lnTo>
                                    <a:lnTo>
                                      <a:pt x="2032000" y="95250"/>
                                    </a:lnTo>
                                    <a:lnTo>
                                      <a:pt x="1403350" y="57150"/>
                                    </a:lnTo>
                                    <a:lnTo>
                                      <a:pt x="1257300" y="57150"/>
                                    </a:lnTo>
                                    <a:lnTo>
                                      <a:pt x="654050" y="82550"/>
                                    </a:lnTo>
                                    <a:lnTo>
                                      <a:pt x="584200" y="101600"/>
                                    </a:lnTo>
                                    <a:lnTo>
                                      <a:pt x="273050" y="57150"/>
                                    </a:lnTo>
                                    <a:lnTo>
                                      <a:pt x="57150"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B5260" w:rsidRDefault="000B5260">
                                  <w:pPr>
                                    <w:ind w:firstLine="360"/>
                                  </w:pPr>
                                </w:p>
                              </w:txbxContent>
                            </wps:txbx>
                            <wps:bodyPr rot="0" vert="horz" wrap="square" lIns="91440" tIns="45720" rIns="91440" bIns="45720" anchor="t" anchorCtr="0" upright="1">
                              <a:noAutofit/>
                            </wps:bodyPr>
                          </wps:wsp>
                        </wpg:grpSp>
                        <wps:wsp>
                          <wps:cNvPr id="138" name="TextBox 32"/>
                          <wps:cNvSpPr>
                            <a:spLocks noChangeArrowheads="1"/>
                          </wps:cNvSpPr>
                          <wps:spPr bwMode="auto">
                            <a:xfrm>
                              <a:off x="529" y="908"/>
                              <a:ext cx="896"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260" w:rsidRDefault="000B5260">
                                <w:pPr>
                                  <w:pStyle w:val="ad"/>
                                  <w:spacing w:before="0" w:beforeAutospacing="0" w:after="0" w:afterAutospacing="0"/>
                                  <w:ind w:firstLineChars="0" w:firstLine="0"/>
                                  <w:textAlignment w:val="baseline"/>
                                  <w:rPr>
                                    <w:rFonts w:cs="Times New Roman"/>
                                    <w:sz w:val="21"/>
                                    <w:szCs w:val="21"/>
                                  </w:rPr>
                                </w:pPr>
                                <w:r>
                                  <w:rPr>
                                    <w:rFonts w:eastAsia="微软雅黑" w:cs="Times New Roman"/>
                                    <w:b/>
                                    <w:bCs/>
                                    <w:color w:val="000000"/>
                                    <w:kern w:val="24"/>
                                    <w:sz w:val="21"/>
                                    <w:szCs w:val="21"/>
                                  </w:rPr>
                                  <w:t>74%</w:t>
                                </w:r>
                              </w:p>
                            </w:txbxContent>
                          </wps:txbx>
                          <wps:bodyPr rot="0" vert="horz" wrap="square" lIns="91440" tIns="45720" rIns="91440" bIns="45720" anchor="t" anchorCtr="0" upright="1">
                            <a:noAutofit/>
                          </wps:bodyPr>
                        </wps:wsp>
                      </wpg:grpSp>
                      <wps:wsp>
                        <wps:cNvPr id="139" name="TextBox 33"/>
                        <wps:cNvSpPr>
                          <a:spLocks noChangeArrowheads="1"/>
                        </wps:cNvSpPr>
                        <wps:spPr bwMode="auto">
                          <a:xfrm>
                            <a:off x="2833" y="2590"/>
                            <a:ext cx="2747"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260" w:rsidRDefault="000B5260">
                              <w:pPr>
                                <w:pStyle w:val="ad"/>
                                <w:spacing w:before="0" w:beforeAutospacing="0" w:after="0" w:afterAutospacing="0"/>
                                <w:ind w:firstLineChars="300" w:firstLine="630"/>
                                <w:textAlignment w:val="baseline"/>
                                <w:rPr>
                                  <w:sz w:val="21"/>
                                  <w:szCs w:val="21"/>
                                </w:rPr>
                              </w:pPr>
                              <w:r>
                                <w:rPr>
                                  <w:rFonts w:hint="eastAsia"/>
                                  <w:bCs/>
                                  <w:color w:val="000000"/>
                                  <w:kern w:val="24"/>
                                  <w:sz w:val="21"/>
                                  <w:szCs w:val="21"/>
                                </w:rPr>
                                <w:t>东京六本木</w:t>
                              </w:r>
                            </w:p>
                          </w:txbxContent>
                        </wps:txbx>
                        <wps:bodyPr rot="0" vert="horz" wrap="square" lIns="91440" tIns="45720" rIns="91440" bIns="45720" anchor="t" anchorCtr="0" upright="1">
                          <a:noAutofit/>
                        </wps:bodyPr>
                      </wps:wsp>
                      <wps:wsp>
                        <wps:cNvPr id="140" name="任意多边形 17"/>
                        <wps:cNvSpPr>
                          <a:spLocks noChangeArrowheads="1"/>
                        </wps:cNvSpPr>
                        <wps:spPr bwMode="auto">
                          <a:xfrm>
                            <a:off x="6126" y="169"/>
                            <a:ext cx="1602" cy="2330"/>
                          </a:xfrm>
                          <a:custGeom>
                            <a:avLst/>
                            <a:gdLst>
                              <a:gd name="T0" fmla="*/ 3727152 w 3817687"/>
                              <a:gd name="T1" fmla="*/ 4356962 h 4420336"/>
                              <a:gd name="T2" fmla="*/ 3817687 w 3817687"/>
                              <a:gd name="T3" fmla="*/ 536400 h 4420336"/>
                              <a:gd name="T4" fmla="*/ 3337853 w 3817687"/>
                              <a:gd name="T5" fmla="*/ 364384 h 4420336"/>
                              <a:gd name="T6" fmla="*/ 2749378 w 3817687"/>
                              <a:gd name="T7" fmla="*/ 228582 h 4420336"/>
                              <a:gd name="T8" fmla="*/ 2351026 w 3817687"/>
                              <a:gd name="T9" fmla="*/ 128994 h 4420336"/>
                              <a:gd name="T10" fmla="*/ 1970780 w 3817687"/>
                              <a:gd name="T11" fmla="*/ 11299 h 4420336"/>
                              <a:gd name="T12" fmla="*/ 1536214 w 3817687"/>
                              <a:gd name="T13" fmla="*/ 228582 h 4420336"/>
                              <a:gd name="T14" fmla="*/ 6178 w 3817687"/>
                              <a:gd name="T15" fmla="*/ 3822808 h 4420336"/>
                              <a:gd name="T16" fmla="*/ 332103 w 3817687"/>
                              <a:gd name="T17" fmla="*/ 4384122 h 4420336"/>
                              <a:gd name="T18" fmla="*/ 830044 w 3817687"/>
                              <a:gd name="T19" fmla="*/ 4420336 h 4420336"/>
                              <a:gd name="T20" fmla="*/ 3727152 w 3817687"/>
                              <a:gd name="T21" fmla="*/ 4356962 h 4420336"/>
                              <a:gd name="T22" fmla="*/ 0 w 3817687"/>
                              <a:gd name="T23" fmla="*/ 0 h 4420336"/>
                              <a:gd name="T24" fmla="*/ 12668 w 3817687"/>
                              <a:gd name="T25" fmla="*/ 14653 h 4420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3817687" h="4420336">
                                <a:moveTo>
                                  <a:pt x="3727152" y="4356962"/>
                                </a:moveTo>
                                <a:lnTo>
                                  <a:pt x="3817687" y="536400"/>
                                </a:lnTo>
                                <a:lnTo>
                                  <a:pt x="3337853" y="364384"/>
                                </a:lnTo>
                                <a:lnTo>
                                  <a:pt x="2749378" y="228582"/>
                                </a:lnTo>
                                <a:lnTo>
                                  <a:pt x="2351026" y="128994"/>
                                </a:lnTo>
                                <a:lnTo>
                                  <a:pt x="1970780" y="11299"/>
                                </a:lnTo>
                                <a:cubicBezTo>
                                  <a:pt x="1717283" y="-24914"/>
                                  <a:pt x="1662962" y="20352"/>
                                  <a:pt x="1536214" y="228582"/>
                                </a:cubicBezTo>
                                <a:lnTo>
                                  <a:pt x="6178" y="3822808"/>
                                </a:lnTo>
                                <a:cubicBezTo>
                                  <a:pt x="-20982" y="4136661"/>
                                  <a:pt x="33339" y="4332819"/>
                                  <a:pt x="332103" y="4384122"/>
                                </a:cubicBezTo>
                                <a:lnTo>
                                  <a:pt x="830044" y="4420336"/>
                                </a:lnTo>
                                <a:lnTo>
                                  <a:pt x="3727152" y="4356962"/>
                                </a:lnTo>
                                <a:close/>
                              </a:path>
                            </a:pathLst>
                          </a:custGeom>
                          <a:solidFill>
                            <a:srgbClr val="FFFFFF"/>
                          </a:solidFill>
                          <a:ln w="9525">
                            <a:solidFill>
                              <a:srgbClr val="A6A6A6"/>
                            </a:solidFill>
                            <a:round/>
                            <a:headEnd/>
                            <a:tailEnd/>
                          </a:ln>
                        </wps:spPr>
                        <wps:txbx>
                          <w:txbxContent>
                            <w:p w:rsidR="000B5260" w:rsidRDefault="000B5260">
                              <w:pPr>
                                <w:ind w:firstLine="360"/>
                              </w:pPr>
                            </w:p>
                          </w:txbxContent>
                        </wps:txbx>
                        <wps:bodyPr rot="0" vert="horz" wrap="square" lIns="91440" tIns="45720" rIns="91440" bIns="45720" anchor="t" anchorCtr="0" upright="1">
                          <a:noAutofit/>
                        </wps:bodyPr>
                      </wps:wsp>
                      <wps:wsp>
                        <wps:cNvPr id="141" name="TextBox 47"/>
                        <wps:cNvSpPr>
                          <a:spLocks noChangeArrowheads="1"/>
                        </wps:cNvSpPr>
                        <wps:spPr bwMode="auto">
                          <a:xfrm>
                            <a:off x="5650" y="2590"/>
                            <a:ext cx="2747"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260" w:rsidRDefault="000B5260">
                              <w:pPr>
                                <w:pStyle w:val="ad"/>
                                <w:spacing w:before="0" w:beforeAutospacing="0" w:after="0" w:afterAutospacing="0"/>
                                <w:ind w:firstLineChars="400" w:firstLine="840"/>
                                <w:textAlignment w:val="baseline"/>
                                <w:rPr>
                                  <w:sz w:val="21"/>
                                  <w:szCs w:val="21"/>
                                </w:rPr>
                              </w:pPr>
                              <w:r>
                                <w:rPr>
                                  <w:rFonts w:hint="eastAsia"/>
                                  <w:bCs/>
                                  <w:color w:val="000000"/>
                                  <w:kern w:val="24"/>
                                  <w:sz w:val="21"/>
                                  <w:szCs w:val="21"/>
                                </w:rPr>
                                <w:t>香港</w:t>
                              </w:r>
                              <w:r>
                                <w:rPr>
                                  <w:bCs/>
                                  <w:color w:val="000000"/>
                                  <w:kern w:val="24"/>
                                  <w:sz w:val="21"/>
                                  <w:szCs w:val="21"/>
                                </w:rPr>
                                <w:t>ICC</w:t>
                              </w:r>
                            </w:p>
                          </w:txbxContent>
                        </wps:txbx>
                        <wps:bodyPr rot="0" vert="horz" wrap="square" lIns="91440" tIns="45720" rIns="91440" bIns="45720" anchor="t" anchorCtr="0" upright="1">
                          <a:noAutofit/>
                        </wps:bodyPr>
                      </wps:wsp>
                      <wps:wsp>
                        <wps:cNvPr id="142" name="任意多边形 19"/>
                        <wps:cNvSpPr>
                          <a:spLocks noChangeArrowheads="1"/>
                        </wps:cNvSpPr>
                        <wps:spPr bwMode="auto">
                          <a:xfrm>
                            <a:off x="6192" y="247"/>
                            <a:ext cx="1492" cy="2172"/>
                          </a:xfrm>
                          <a:custGeom>
                            <a:avLst/>
                            <a:gdLst>
                              <a:gd name="T0" fmla="*/ 3727152 w 3817687"/>
                              <a:gd name="T1" fmla="*/ 4356962 h 4420336"/>
                              <a:gd name="T2" fmla="*/ 3817687 w 3817687"/>
                              <a:gd name="T3" fmla="*/ 536400 h 4420336"/>
                              <a:gd name="T4" fmla="*/ 3337853 w 3817687"/>
                              <a:gd name="T5" fmla="*/ 364384 h 4420336"/>
                              <a:gd name="T6" fmla="*/ 2749378 w 3817687"/>
                              <a:gd name="T7" fmla="*/ 228582 h 4420336"/>
                              <a:gd name="T8" fmla="*/ 2351026 w 3817687"/>
                              <a:gd name="T9" fmla="*/ 128994 h 4420336"/>
                              <a:gd name="T10" fmla="*/ 1970780 w 3817687"/>
                              <a:gd name="T11" fmla="*/ 11299 h 4420336"/>
                              <a:gd name="T12" fmla="*/ 1536214 w 3817687"/>
                              <a:gd name="T13" fmla="*/ 228582 h 4420336"/>
                              <a:gd name="T14" fmla="*/ 6178 w 3817687"/>
                              <a:gd name="T15" fmla="*/ 3822808 h 4420336"/>
                              <a:gd name="T16" fmla="*/ 332103 w 3817687"/>
                              <a:gd name="T17" fmla="*/ 4384122 h 4420336"/>
                              <a:gd name="T18" fmla="*/ 830044 w 3817687"/>
                              <a:gd name="T19" fmla="*/ 4420336 h 4420336"/>
                              <a:gd name="T20" fmla="*/ 3727152 w 3817687"/>
                              <a:gd name="T21" fmla="*/ 4356962 h 4420336"/>
                              <a:gd name="T22" fmla="*/ 0 w 3817687"/>
                              <a:gd name="T23" fmla="*/ 0 h 4420336"/>
                              <a:gd name="T24" fmla="*/ 11795 w 3817687"/>
                              <a:gd name="T25" fmla="*/ 13652 h 4420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3817687" h="4420336">
                                <a:moveTo>
                                  <a:pt x="3727152" y="4356962"/>
                                </a:moveTo>
                                <a:lnTo>
                                  <a:pt x="3817687" y="536400"/>
                                </a:lnTo>
                                <a:lnTo>
                                  <a:pt x="3337853" y="364384"/>
                                </a:lnTo>
                                <a:lnTo>
                                  <a:pt x="2749378" y="228582"/>
                                </a:lnTo>
                                <a:lnTo>
                                  <a:pt x="2351026" y="128994"/>
                                </a:lnTo>
                                <a:lnTo>
                                  <a:pt x="1970780" y="11299"/>
                                </a:lnTo>
                                <a:cubicBezTo>
                                  <a:pt x="1717283" y="-24914"/>
                                  <a:pt x="1662962" y="20352"/>
                                  <a:pt x="1536214" y="228582"/>
                                </a:cubicBezTo>
                                <a:lnTo>
                                  <a:pt x="6178" y="3822808"/>
                                </a:lnTo>
                                <a:cubicBezTo>
                                  <a:pt x="-20982" y="4136661"/>
                                  <a:pt x="33339" y="4332819"/>
                                  <a:pt x="332103" y="4384122"/>
                                </a:cubicBezTo>
                                <a:lnTo>
                                  <a:pt x="830044" y="4420336"/>
                                </a:lnTo>
                                <a:lnTo>
                                  <a:pt x="3727152" y="4356962"/>
                                </a:lnTo>
                                <a:close/>
                              </a:path>
                            </a:pathLst>
                          </a:custGeom>
                          <a:solidFill>
                            <a:srgbClr val="FFC000"/>
                          </a:solidFill>
                          <a:ln w="9525">
                            <a:solidFill>
                              <a:srgbClr val="FFFFFF"/>
                            </a:solidFill>
                            <a:round/>
                            <a:headEnd/>
                            <a:tailEnd/>
                          </a:ln>
                        </wps:spPr>
                        <wps:txbx>
                          <w:txbxContent>
                            <w:p w:rsidR="000B5260" w:rsidRDefault="000B5260">
                              <w:pPr>
                                <w:ind w:firstLine="360"/>
                              </w:pPr>
                            </w:p>
                          </w:txbxContent>
                        </wps:txbx>
                        <wps:bodyPr rot="0" vert="horz" wrap="square" lIns="91440" tIns="45720" rIns="91440" bIns="45720" anchor="t" anchorCtr="0" upright="1">
                          <a:noAutofit/>
                        </wps:bodyPr>
                      </wps:wsp>
                      <wps:wsp>
                        <wps:cNvPr id="143" name="TextBox 46"/>
                        <wps:cNvSpPr>
                          <a:spLocks noChangeArrowheads="1"/>
                        </wps:cNvSpPr>
                        <wps:spPr bwMode="auto">
                          <a:xfrm>
                            <a:off x="6684" y="1142"/>
                            <a:ext cx="876"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260" w:rsidRDefault="000B5260">
                              <w:pPr>
                                <w:pStyle w:val="ad"/>
                                <w:spacing w:before="0" w:beforeAutospacing="0" w:after="0" w:afterAutospacing="0"/>
                                <w:ind w:firstLineChars="0" w:firstLine="0"/>
                                <w:textAlignment w:val="baseline"/>
                                <w:rPr>
                                  <w:sz w:val="21"/>
                                  <w:szCs w:val="21"/>
                                </w:rPr>
                              </w:pPr>
                              <w:r>
                                <w:rPr>
                                  <w:rFonts w:hint="eastAsia"/>
                                  <w:b/>
                                  <w:bCs/>
                                  <w:color w:val="000000"/>
                                  <w:kern w:val="24"/>
                                  <w:sz w:val="21"/>
                                  <w:szCs w:val="21"/>
                                </w:rPr>
                                <w:t>100%</w:t>
                              </w:r>
                            </w:p>
                          </w:txbxContent>
                        </wps:txbx>
                        <wps:bodyPr rot="0" vert="horz" wrap="square" lIns="91440" tIns="45720" rIns="91440" bIns="45720" anchor="t" anchorCtr="0" upright="1">
                          <a:noAutofit/>
                        </wps:bodyPr>
                      </wps:wsp>
                    </wpg:wgp>
                  </a:graphicData>
                </a:graphic>
              </wp:inline>
            </w:drawing>
          </mc:Choice>
          <mc:Fallback>
            <w:pict>
              <v:group w14:anchorId="31D96E6B" id="组合 1085" o:spid="_x0000_s1026" style="width:421.15pt;height:157.8pt;mso-position-horizontal-relative:char;mso-position-vertical-relative:line" coordsize="8423,3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">
                <v:rect id="矩形 10" o:spid="_x0000_s1027" style="position:absolute;left:2833;width:2747;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F+cYA&#10;AADbAAAADwAAAGRycy9kb3ducmV2LnhtbESPT0vDQBTE7wW/w/KEXkqzUaqV2G0RrZD+ObRR78/s&#10;azaYfRuya5t++25B8DjMzG+Y2aK3jThS52vHCu6SFARx6XTNlYLPj/fxEwgfkDU2jknBmTws5jeD&#10;GWbanXhPxyJUIkLYZ6jAhNBmUvrSkEWfuJY4egfXWQxRdpXUHZ4i3DbyPk0fpcWa44LBll4NlT/F&#10;r1WQ641xo+129bWcFN+79LB+q/O1UsPb/uUZRKA+/If/2rlW8DCF65f4A+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FF+cYAAADbAAAADwAAAAAAAAAAAAAAAACYAgAAZHJz&#10;L2Rvd25yZXYueG1sUEsFBgAAAAAEAAQA9QAAAIsDAAAAAA==&#10;" fillcolor="#eeece1" stroked="f">
                  <v:textbox>
                    <w:txbxContent>
                      <w:p w:rsidR="000B5260" w:rsidRDefault="000B5260">
                        <w:pPr>
                          <w:ind w:firstLine="360"/>
                          <w:jc w:val="center"/>
                        </w:pPr>
                      </w:p>
                    </w:txbxContent>
                  </v:textbox>
                </v:rect>
                <v:rect id="矩形 11" o:spid="_x0000_s1028" style="position:absolute;left:5676;width:2747;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7Ri8IA&#10;AADbAAAADwAAAGRycy9kb3ducmV2LnhtbERPz2vCMBS+D/wfwhN2GZo6poxqFHETOufB1e3+bJ5N&#10;sXkpTdT635uDsOPH93u26GwtLtT6yrGC0TABQVw4XXGp4He/HryD8AFZY+2YFNzIw2Lee5phqt2V&#10;f+iSh1LEEPYpKjAhNKmUvjBk0Q9dQxy5o2sthgjbUuoWrzHc1vI1SSbSYsWxwWBDK0PFKT9bBZn+&#10;Nu5lu/36+3zLD7vkuPmoso1Sz/1uOQURqAv/4oc70wrGcWz8En+A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jtGLwgAAANsAAAAPAAAAAAAAAAAAAAAAAJgCAABkcnMvZG93&#10;bnJldi54bWxQSwUGAAAAAAQABAD1AAAAhwMAAAAA&#10;" fillcolor="#eeece1" stroked="f">
                  <v:textbox>
                    <w:txbxContent>
                      <w:p w:rsidR="000B5260" w:rsidRDefault="000B5260">
                        <w:pPr>
                          <w:ind w:firstLine="360"/>
                        </w:pPr>
                      </w:p>
                    </w:txbxContent>
                  </v:textbox>
                </v:rect>
                <v:rect id="矩形 12" o:spid="_x0000_s1029" style="position:absolute;width:2747;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0EMYA&#10;AADbAAAADwAAAGRycy9kb3ducmV2LnhtbESPT0vDQBTE7wW/w/KEXkqzUarU2G0RrZD+ObRR78/s&#10;azaYfRuya5t++25B8DjMzG+Y2aK3jThS52vHCu6SFARx6XTNlYLPj/fxFIQPyBobx6TgTB4W85vB&#10;DDPtTrynYxEqESHsM1RgQmgzKX1pyKJPXEscvYPrLIYou0rqDk8Rbht5n6aP0mLNccFgS6+Gyp/i&#10;1yrI9ca40Xa7+lpOiu9deli/1flaqeFt//IMIlAf/sN/7VwreHiC65f4A+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J0EMYAAADbAAAADwAAAAAAAAAAAAAAAACYAgAAZHJz&#10;L2Rvd25yZXYueG1sUEsFBgAAAAAEAAQA9QAAAIsDAAAAAA==&#10;" fillcolor="#eeece1" stroked="f">
                  <v:textbox>
                    <w:txbxContent>
                      <w:p w:rsidR="000B5260" w:rsidRDefault="000B5260">
                        <w:pPr>
                          <w:ind w:left="480" w:firstLineChars="0" w:firstLine="0"/>
                        </w:pPr>
                      </w:p>
                    </w:txbxContent>
                  </v:textbox>
                </v:rect>
                <v:rect id="TextBox 16" o:spid="_x0000_s1030" style="position:absolute;top:2574;width:2748;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EYsIA&#10;AADbAAAADwAAAGRycy9kb3ducmV2LnhtbERPTWuDQBC9F/Iflgn0Upq1OUix2UgQQiQUQk2a8+BO&#10;VeLOqrtV8++zh0KPj/e9SWfTipEG11hW8LaKQBCXVjdcKbic96/vIJxH1thaJgV3cpBuF08bTLSd&#10;+IvGwlcihLBLUEHtfZdI6cqaDLqV7YgD92MHgz7AoZJ6wCmEm1auoyiWBhsODTV2lNVU3opfo2Aq&#10;T+P1/HmQp5drbrnP+6z4Pir1vJx3HyA8zf5f/OfOtYI4rA9fwg+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oRiwgAAANsAAAAPAAAAAAAAAAAAAAAAAJgCAABkcnMvZG93&#10;bnJldi54bWxQSwUGAAAAAAQABAD1AAAAhwMAAAAA&#10;" filled="f" stroked="f">
                  <v:textbox>
                    <w:txbxContent>
                      <w:p w:rsidR="000B5260" w:rsidRDefault="000B5260">
                        <w:pPr>
                          <w:pStyle w:val="ad"/>
                          <w:spacing w:before="0" w:beforeAutospacing="0" w:after="0" w:afterAutospacing="0"/>
                          <w:ind w:firstLineChars="400" w:firstLine="840"/>
                          <w:textAlignment w:val="baseline"/>
                          <w:rPr>
                            <w:sz w:val="21"/>
                            <w:szCs w:val="21"/>
                          </w:rPr>
                        </w:pPr>
                        <w:r>
                          <w:rPr>
                            <w:rFonts w:hint="eastAsia"/>
                            <w:bCs/>
                            <w:color w:val="000000"/>
                            <w:kern w:val="24"/>
                            <w:sz w:val="21"/>
                            <w:szCs w:val="21"/>
                          </w:rPr>
                          <w:t>太古汇</w:t>
                        </w:r>
                      </w:p>
                    </w:txbxContent>
                  </v:textbox>
                </v:rect>
                <v:group id="组合 1090" o:spid="_x0000_s1031" style="position:absolute;left:129;top:626;width:2341;height:1606" coordsize="2341,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group id="组合 1091" o:spid="_x0000_s1032" style="position:absolute;width:2341;height:1606" coordsize="2341,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任意多边形 31" o:spid="_x0000_s1033" style="position:absolute;width:2341;height:1606;visibility:visible;mso-wrap-style:square;v-text-anchor:top" coordsize="5784244,31546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jmisUA&#10;AADbAAAADwAAAGRycy9kb3ducmV2LnhtbESP0WrCQBRE3wX/YbkFX6TZVG2Q1DVIoWCxD03qB1yy&#10;t0lo9m7IbmPi13eFgo/DzJxhdtloWjFQ7xrLCp6iGARxaXXDlYLz19vjFoTzyBpby6RgIgfZfj7b&#10;YarthXMaCl+JAGGXooLa+y6V0pU1GXSR7YiD9217gz7IvpK6x0uAm1au4jiRBhsOCzV29FpT+VP8&#10;GgXlaD9OeTut7XXzXCxzKt7zz0mpxcN4eAHhafT38H/7qBUka7h9CT9A7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OaKxQAAANsAAAAPAAAAAAAAAAAAAAAAAJgCAABkcnMv&#10;ZG93bnJldi54bWxQSwUGAAAAAAQABAD1AAAAigMAAAAA&#10;" adj="-11796480,,5400" path="m146213,167640c158913,58420,232573,2540,390053,l5190653,v167640,,297180,106680,320040,251460l5769773,2125980v104140,815340,-370840,1005840,-876300,1028700l237653,3017520c59853,3009900,-11267,2849880,1433,2720340l146213,167640xe" strokecolor="#a6a6a6">
                      <v:stroke joinstyle="round"/>
                      <v:formulas/>
                      <v:path o:connecttype="custom" o:connectlocs="59,85;158,0;2101,0;2230,128;2335,1082;1980,1606;96,1536;1,1385;59,85" o:connectangles="0,0,0,0,0,0,0,0,0" textboxrect="0,0,56829,31429"/>
                      <v:textbox>
                        <w:txbxContent>
                          <w:p w:rsidR="000B5260" w:rsidRDefault="000B5260">
                            <w:pPr>
                              <w:ind w:firstLine="360"/>
                            </w:pPr>
                          </w:p>
                        </w:txbxContent>
                      </v:textbox>
                    </v:shape>
                    <v:shape id="任意多边形 32" o:spid="_x0000_s1034" style="position:absolute;left:127;top:58;width:2140;height:1490;visibility:visible;mso-wrap-style:square;v-text-anchor:top" coordsize="5288280,29260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iqwsUA&#10;AADcAAAADwAAAGRycy9kb3ducmV2LnhtbESPQWvCQBCF74X+h2UKvYhuFKoSXUUEpYcKNXrxNmTH&#10;JJidXbKrpv++cyj0NsN78943y3XvWvWgLjaeDYxHGSji0tuGKwPn0244BxUTssXWMxn4oQjr1evL&#10;EnPrn3ykR5EqJSEcczRQpxRyrWNZk8M48oFYtKvvHCZZu0rbDp8S7lo9ybKpdtiwNNQYaFtTeSvu&#10;zkCYhsPgA9vB5dvOzsXXodhzaIx5f+s3C1CJ+vRv/rv+tII/EVp5Ri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aKrCxQAAANwAAAAPAAAAAAAAAAAAAAAAAJgCAABkcnMv&#10;ZG93bnJldi54bWxQSwUGAAAAAAQABAD1AAAAigMAAAAA&#10;" adj="-11796480,,5400" path="m68580,213360r243840,800100l259080,1234440,121920,1219200r121920,556260l137160,1798320r7620,114300l30480,1950720r38100,137160l,2103120r121920,632460l1021080,2575560r419100,213360l2034540,2621280r281940,38100l2324100,2819400r1036320,22860l3642360,2926080r777240,-297180l4953000,2880360r304800,-632460l5219700,2232660r68580,-121920l5181600,2072640r53340,-144780l4914900,1760220r152400,-518160l5021580,1036320r83820,-30480l4907280,144780r-220980,68580l3749040,76200,2743200,121920,2286000,320040,1630680,,845820,152400,381000,121920,68580,213360xe" fillcolor="#ffc000" stroked="f">
                      <v:stroke joinstyle="round"/>
                      <v:formulas/>
                      <v:path o:connecttype="custom" o:connectlocs="28,109;126,516;105,629;49,621;99,904;56,916;59,974;12,993;28,1063;0,1071;49,1393;413,1312;583,1420;823,1335;937,1354;940,1436;1360,1447;1474,1490;1788,1339;2004,1467;2128,1145;2112,1137;2140,1075;2097,1055;2118,982;1989,896;2051,632;2032,528;2066,512;1986,74;1896,109;1517,39;1110,62;925,163;660,0;342,78;154,62;28,109" o:connectangles="0,0,0,0,0,0,0,0,0,0,0,0,0,0,0,0,0,0,0,0,0,0,0,0,0,0,0,0,0,0,0,0,0,0,0,0,0,0" textboxrect="0,0,51894,29457"/>
                      <v:textbox>
                        <w:txbxContent>
                          <w:p w:rsidR="000B5260" w:rsidRDefault="000B5260">
                            <w:pPr>
                              <w:ind w:firstLine="360"/>
                            </w:pPr>
                          </w:p>
                        </w:txbxContent>
                      </v:textbox>
                    </v:shape>
                  </v:group>
                  <v:rect id="TextBox 19" o:spid="_x0000_s1035" style="position:absolute;left:857;top:516;width:743;height: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1u78IA&#10;AADcAAAADwAAAGRycy9kb3ducmV2LnhtbERPTWvCQBC9F/wPywheSt3oodTUVUQQgwjSaD0P2WkS&#10;zM7G7JrEf98VBG/zeJ8zX/amEi01rrSsYDKOQBBnVpecKzgdNx9fIJxH1lhZJgV3crBcDN7mGGvb&#10;8Q+1qc9FCGEXo4LC+zqW0mUFGXRjWxMH7s82Bn2ATS51g10IN5WcRtGnNFhyaCiwpnVB2SW9GQVd&#10;dmjPx/1WHt7PieVrcl2nvzulRsN+9Q3CU+9f4qc70WH+dAaPZ8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W7vwgAAANwAAAAPAAAAAAAAAAAAAAAAAJgCAABkcnMvZG93&#10;bnJldi54bWxQSwUGAAAAAAQABAD1AAAAhwMAAAAA&#10;" filled="f" stroked="f">
                    <v:textbox>
                      <w:txbxContent>
                        <w:p w:rsidR="000B5260" w:rsidRDefault="000B5260">
                          <w:pPr>
                            <w:pStyle w:val="ad"/>
                            <w:spacing w:before="0" w:beforeAutospacing="0" w:after="0" w:afterAutospacing="0"/>
                            <w:ind w:firstLineChars="0" w:firstLine="0"/>
                            <w:textAlignment w:val="baseline"/>
                            <w:rPr>
                              <w:rFonts w:cs="Times New Roman"/>
                              <w:sz w:val="21"/>
                              <w:szCs w:val="21"/>
                            </w:rPr>
                          </w:pPr>
                          <w:r>
                            <w:rPr>
                              <w:rFonts w:cs="Times New Roman"/>
                              <w:b/>
                              <w:bCs/>
                              <w:color w:val="000000"/>
                              <w:kern w:val="24"/>
                              <w:sz w:val="21"/>
                              <w:szCs w:val="21"/>
                            </w:rPr>
                            <w:t>74%</w:t>
                          </w:r>
                        </w:p>
                      </w:txbxContent>
                    </v:textbox>
                  </v:rect>
                </v:group>
                <v:group id="组合 1095" o:spid="_x0000_s1036" style="position:absolute;left:3207;top:225;width:1887;height:2408" coordsize="1887,2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group id="组合 1096" o:spid="_x0000_s1037" style="position:absolute;width:1887;height:2409" coordsize="1887,2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任意多边形 23" o:spid="_x0000_s1038" style="position:absolute;left:207;top:1772;width:1680;height:637;visibility:visible;mso-wrap-style:square;v-text-anchor:top" coordsize="3060700,9207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Ua38IA&#10;AADcAAAADwAAAGRycy9kb3ducmV2LnhtbERP3WrCMBS+F/YO4Qx2p6kKo1bTIgNBB15MfYBDc0zr&#10;mpOSRNvt6ZfBYHfn4/s9m2q0nXiQD61jBfNZBoK4drplo+By3k1zECEia+wck4IvClCVT5MNFtoN&#10;/EGPUzQihXAoUEETY19IGeqGLIaZ64kTd3XeYkzQG6k9DincdnKRZa/SYsupocGe3hqqP093q6A/&#10;3KTPD6NbHbfv35fhaPJ5MEq9PI/bNYhIY/wX/7n3Os1fLuD3mXS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JRrfwgAAANwAAAAPAAAAAAAAAAAAAAAAAJgCAABkcnMvZG93&#10;bnJldi54bWxQSwUGAAAAAAQABAD1AAAAhwMAAAAA&#10;" adj="-11796480,,5400" path="m107950,527050r,l381000,641350,781050,749300,1136650,647700,2012950,533400r469900,95250l2603500,698500r177800,222250l3009900,895350r50800,-482600l2959100,19050r-863600,88900l1289050,82550,1022350,69850,584200,101600,114300,,6350,146050,,292100,44450,450850r63500,76200xe" strokecolor="#a6a6a6">
                      <v:stroke joinstyle="round"/>
                      <v:formulas/>
                      <v:path o:connecttype="custom" o:connectlocs="59,365;59,365;209,444;429,518;624,448;1105,369;1363,435;1429,483;1527,637;1652,619;1680,286;1624,13;1150,75;708,57;561,48;321,70;63,0;3,101;0,202;24,312;59,365" o:connectangles="0,0,0,0,0,0,0,0,0,0,0,0,0,0,0,0,0,0,0,0,0" textboxrect="0,0,30971,8673"/>
                      <v:textbox>
                        <w:txbxContent>
                          <w:p w:rsidR="000B5260" w:rsidRDefault="000B5260">
                            <w:pPr>
                              <w:ind w:firstLine="360"/>
                            </w:pPr>
                          </w:p>
                        </w:txbxContent>
                      </v:textbox>
                    </v:shape>
                    <v:shape id="任意多边形 24" o:spid="_x0000_s1039" style="position:absolute;width:1783;height:1767;visibility:visible;mso-wrap-style:square;v-text-anchor:top" coordsize="3244850,25590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EQD8MA&#10;AADcAAAADwAAAGRycy9kb3ducmV2LnhtbERPTWvCQBC9F/wPywi9NZsolBKzigiKFw+macXbmB2T&#10;YHY2ZFdN++u7gtDbPN7nZIvBtOJGvWssK0iiGARxaXXDlYLic/32AcJ5ZI2tZVLwQw4W89FLhqm2&#10;d97TLfeVCCHsUlRQe9+lUrqyJoMush1x4M62N+gD7Cupe7yHcNPKSRy/S4MNh4YaO1rVVF7yq1EQ&#10;/+rvVu+SQ3X+2m2K9bHZJ6eVUq/jYTkD4Wnw/+Kne6vD/OkUHs+EC+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EQD8MAAADcAAAADwAAAAAAAAAAAAAAAACYAgAAZHJzL2Rv&#10;d25yZXYueG1sUEsFBgAAAAAEAAQA9QAAAIgDAAAAAA==&#10;" adj="-11796480,,5400" path="m3244850,2432050r-539750,107950l2355850,2559050r-723900,-38100l1200150,2546350,800100,2520950,488950,2444750,171450,2292350,,2260600,152400,1314450,495300,1130300,552450,990600r,-165100l488950,647700r31750,-69850l774700,660400,965200,381000r,-120650l1371600,r139700,361950l1892300,196850r171450,355600l1822450,806450r-88900,177800l2044700,1143000r406400,107950l2857500,1504950r215900,247650l3219450,2076450r25400,355600xe" strokecolor="#a6a6a6">
                      <v:stroke joinstyle="round"/>
                      <v:formulas/>
                      <v:path o:connecttype="custom" o:connectlocs="1783,1679;1486,1754;1295,1767;897,1741;659,1758;440,1741;269,1688;94,1583;0,1561;84,908;272,780;304,684;304,570;269,447;286,399;426,456;530,263;530,180;754,0;830,250;1040,136;1134,381;1001,557;953,680;1124,789;1347,864;1570,1039;1689,1210;1769,1434;1783,1679" o:connectangles="0,0,0,0,0,0,0,0,0,0,0,0,0,0,0,0,0,0,0,0,0,0,0,0,0,0,0,0,0,0" textboxrect="0,0,32758,26068"/>
                      <v:textbox>
                        <w:txbxContent>
                          <w:p w:rsidR="000B5260" w:rsidRDefault="000B5260">
                            <w:pPr>
                              <w:ind w:firstLine="360"/>
                            </w:pPr>
                          </w:p>
                        </w:txbxContent>
                      </v:textbox>
                    </v:shape>
                    <v:shape id="任意多边形 25" o:spid="_x0000_s1040" style="position:absolute;left:1022;top:1121;width:634;height:593;visibility:visible;mso-wrap-style:square;v-text-anchor:top" coordsize="1155700,860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UbvMIA&#10;AADcAAAADwAAAGRycy9kb3ducmV2LnhtbERPS4vCMBC+L/gfwgheFk3VRaUaRYUFYffg8z4kY1ts&#10;JrWJtf77zcLC3ubje85i1dpSNFT7wrGC4SABQaydKThTcD599mcgfEA2WDomBS/ysFp23haYGvfk&#10;AzXHkIkYwj5FBXkIVSql1zlZ9ANXEUfu6mqLIcI6k6bGZwy3pRwlyURaLDg25FjRNid9Oz6sAnm7&#10;7KYb3WTj/at9vN83+mK+vpXqddv1HESgNvyL/9w7E+ePP+D3mXi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pRu8wgAAANwAAAAPAAAAAAAAAAAAAAAAAJgCAABkcnMvZG93&#10;bnJldi54bWxQSwUGAAAAAAQABAD1AAAAhwMAAAAA&#10;" adj="-11796480,,5400" path="m1155700,810197l1054100,549847,984250,219647c732367,-85153,359833,-78803,114300,276797l101600,568897,,835597r628650,25400l1155700,810197xe" fillcolor="#ffc000" stroked="f">
                      <v:stroke joinstyle="round"/>
                      <v:formulas/>
                      <v:path o:connecttype="custom" o:connectlocs="634,558;578,379;540,151;63,191;56,392;0,576;345,593;634,558" o:connectangles="0,0,0,0,0,0,0,0" textboxrect="0,0,10937,8712"/>
                      <v:textbox>
                        <w:txbxContent>
                          <w:p w:rsidR="000B5260" w:rsidRDefault="000B5260">
                            <w:pPr>
                              <w:ind w:firstLine="360"/>
                            </w:pPr>
                          </w:p>
                        </w:txbxContent>
                      </v:textbox>
                    </v:shape>
                    <v:shape id="任意多边形 26" o:spid="_x0000_s1041" style="position:absolute;left:28;top:83;width:1084;height:1629;visibility:visible;mso-wrap-style:square;v-text-anchor:top" coordsize="1974850,2355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a7cMEA&#10;AADcAAAADwAAAGRycy9kb3ducmV2LnhtbESPzarCMBCF94LvEEZwp6mKItUoXkEQd/VnPzRjW2wm&#10;tclt69sbQXA3wzlzvjPrbWdK0VDtCssKJuMIBHFqdcGZguvlMFqCcB5ZY2mZFLzIwXbT760x1rbl&#10;hJqzz0QIYRejgtz7KpbSpTkZdGNbEQftbmuDPqx1JnWNbQg3pZxG0UIaLDgQcqxon1P6OP+bALGp&#10;uU13+/mrSpqmmz+T9nT9U2o46HYrEJ46/zN/r4861J8t4PNMmEB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Gu3DBAAAA3AAAAA8AAAAAAAAAAAAAAAAAmAIAAGRycy9kb3du&#10;cmV2LnhtbFBLBQYAAAAABAAEAPUAAACGAwAAAAA=&#10;" adj="-11796480,,5400" path="m1435100,2317750r6350,-374650l1524000,1752600r158750,-177800l1752600,1339850,1733550,971550,1663700,831850r95250,-203200l1974850,444500,1816100,101600,1473200,317500,1276350,241300r50800,-69850l1244600,,1123950,25400,927100,149225r,107950l746125,561975r-85725,53975l565150,501650r-69850,38100l520700,641350r44450,298450l476250,1003300,127000,1206500,,1860550r120650,12700l292100,2171700r692150,184150l1250950,2324100r50800,6350l1435100,2317750xe" fillcolor="#ffc000" stroked="f">
                      <v:stroke joinstyle="round"/>
                      <v:formulas/>
                      <v:path o:connecttype="custom" o:connectlocs="788,1603;791,1344;837,1212;924,1089;962,926;952,672;913,575;965,435;1084,307;997,70;809,220;701,167;728,119;683,0;617,18;509,103;509,178;410,389;362,426;310,347;272,373;286,443;310,650;261,694;70,834;0,1287;66,1295;160,1502;540,1629;687,1607;715,1611;788,1603" o:connectangles="0,0,0,0,0,0,0,0,0,0,0,0,0,0,0,0,0,0,0,0,0,0,0,0,0,0,0,0,0,0,0,0" textboxrect="0,0,20040,23139"/>
                      <v:textbox>
                        <w:txbxContent>
                          <w:p w:rsidR="000B5260" w:rsidRDefault="000B5260">
                            <w:pPr>
                              <w:ind w:firstLine="360"/>
                            </w:pPr>
                          </w:p>
                        </w:txbxContent>
                      </v:textbox>
                    </v:shape>
                    <v:shape id="任意多边形 27" o:spid="_x0000_s1042" style="position:absolute;left:231;top:1820;width:1357;height:409;visibility:visible;mso-wrap-style:square;v-text-anchor:top" coordsize="2470150,590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QcMEA&#10;AADcAAAADwAAAGRycy9kb3ducmV2LnhtbERPTWvCQBC9F/wPywi91Y0W0hBdRQVprk3T+zQ7JsHs&#10;bMyuMfXXuwXB2zze56w2o2nFQL1rLCuYzyIQxKXVDVcKiu/DWwLCeWSNrWVS8EcONuvJywpTba/8&#10;RUPuKxFC2KWooPa+S6V0ZU0G3cx2xIE72t6gD7CvpO7xGsJNKxdRFEuDDYeGGjva11Se8otR8PsT&#10;z7fNufwcjknhd9mlzW/2oNTrdNwuQXga/VP8cGc6zH//gP9nwgV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bUHDBAAAA3AAAAA8AAAAAAAAAAAAAAAAAmAIAAGRycy9kb3du&#10;cmV2LnhtbFBLBQYAAAAABAAEAPUAAACGAwAAAAA=&#10;" adj="-11796480,,5400" path="m57150,l,190500r57150,19050l31750,285750r63500,12700l88900,361950r95250,25400l768350,590550,996950,552450r165100,-63500l1231900,393700r260350,50800l1492250,374650r177800,50800l2165350,368300r114300,19050l2470150,330200,2451100,63500,2032000,95250,1403350,57150r-146050,l654050,82550r-69850,19050l273050,57150,57150,xe" fillcolor="#ffc000" stroked="f">
                      <v:stroke joinstyle="round"/>
                      <v:formulas/>
                      <v:path o:connecttype="custom" o:connectlocs="31,0;0,132;31,145;17,198;52,207;49,251;101,268;422,409;548,383;638,339;677,273;820,308;820,259;917,295;1190,255;1252,268;1357,229;1347,44;1116,66;771,40;691,40;359,57;321,70;150,40;31,0" o:connectangles="0,0,0,0,0,0,0,0,0,0,0,0,0,0,0,0,0,0,0,0,0,0,0,0,0" textboxrect="0,0,25484,5776"/>
                      <v:textbox>
                        <w:txbxContent>
                          <w:p w:rsidR="000B5260" w:rsidRDefault="000B5260">
                            <w:pPr>
                              <w:ind w:firstLine="360"/>
                            </w:pPr>
                          </w:p>
                        </w:txbxContent>
                      </v:textbox>
                    </v:shape>
                  </v:group>
                  <v:rect id="TextBox 32" o:spid="_x0000_s1043" style="position:absolute;left:529;top:908;width:896;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hdqcYA&#10;AADcAAAADwAAAGRycy9kb3ducmV2LnhtbESPQWvCQBCF7wX/wzJCL0U3tVAkuooI0lAEaWw9D9lp&#10;Epqdjdk1if++cyj0NsN789436+3oGtVTF2rPBp7nCSjiwtuaSwOf58NsCSpEZIuNZzJwpwDbzeRh&#10;jan1A39Qn8dSSQiHFA1UMbap1qGoyGGY+5ZYtG/fOYyydqW2HQ4S7hq9SJJX7bBmaaiwpX1FxU9+&#10;cwaG4tRfzsc3fXq6ZJ6v2XWff70b8zgddytQkcb4b/67zqzgvwi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hdqcYAAADcAAAADwAAAAAAAAAAAAAAAACYAgAAZHJz&#10;L2Rvd25yZXYueG1sUEsFBgAAAAAEAAQA9QAAAIsDAAAAAA==&#10;" filled="f" stroked="f">
                    <v:textbox>
                      <w:txbxContent>
                        <w:p w:rsidR="000B5260" w:rsidRDefault="000B5260">
                          <w:pPr>
                            <w:pStyle w:val="ad"/>
                            <w:spacing w:before="0" w:beforeAutospacing="0" w:after="0" w:afterAutospacing="0"/>
                            <w:ind w:firstLineChars="0" w:firstLine="0"/>
                            <w:textAlignment w:val="baseline"/>
                            <w:rPr>
                              <w:rFonts w:cs="Times New Roman"/>
                              <w:sz w:val="21"/>
                              <w:szCs w:val="21"/>
                            </w:rPr>
                          </w:pPr>
                          <w:r>
                            <w:rPr>
                              <w:rFonts w:eastAsia="微软雅黑" w:cs="Times New Roman"/>
                              <w:b/>
                              <w:bCs/>
                              <w:color w:val="000000"/>
                              <w:kern w:val="24"/>
                              <w:sz w:val="21"/>
                              <w:szCs w:val="21"/>
                            </w:rPr>
                            <w:t>74%</w:t>
                          </w:r>
                        </w:p>
                      </w:txbxContent>
                    </v:textbox>
                  </v:rect>
                </v:group>
                <v:rect id="TextBox 33" o:spid="_x0000_s1044" style="position:absolute;left:2833;top:2590;width:2747;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4MsMA&#10;AADcAAAADwAAAGRycy9kb3ducmV2LnhtbERPTWvCQBC9F/wPywheRDdaKJq6ighikIIYrechO01C&#10;s7Mxuybpv+8WhN7m8T5ntelNJVpqXGlZwWwagSDOrC45V3C97CcLEM4ja6wsk4IfcrBZD15WGGvb&#10;8Zna1OcihLCLUUHhfR1L6bKCDLqprYkD92Ubgz7AJpe6wS6Em0rOo+hNGiw5NBRY066g7Dt9GAVd&#10;dmpvl4+DPI1vieV7ct+ln0elRsN++w7CU+//xU93osP81yX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T4MsMAAADcAAAADwAAAAAAAAAAAAAAAACYAgAAZHJzL2Rv&#10;d25yZXYueG1sUEsFBgAAAAAEAAQA9QAAAIgDAAAAAA==&#10;" filled="f" stroked="f">
                  <v:textbox>
                    <w:txbxContent>
                      <w:p w:rsidR="000B5260" w:rsidRDefault="000B5260">
                        <w:pPr>
                          <w:pStyle w:val="ad"/>
                          <w:spacing w:before="0" w:beforeAutospacing="0" w:after="0" w:afterAutospacing="0"/>
                          <w:ind w:firstLineChars="300" w:firstLine="630"/>
                          <w:textAlignment w:val="baseline"/>
                          <w:rPr>
                            <w:sz w:val="21"/>
                            <w:szCs w:val="21"/>
                          </w:rPr>
                        </w:pPr>
                        <w:r>
                          <w:rPr>
                            <w:rFonts w:hint="eastAsia"/>
                            <w:bCs/>
                            <w:color w:val="000000"/>
                            <w:kern w:val="24"/>
                            <w:sz w:val="21"/>
                            <w:szCs w:val="21"/>
                          </w:rPr>
                          <w:t>东京六本木</w:t>
                        </w:r>
                      </w:p>
                    </w:txbxContent>
                  </v:textbox>
                </v:rect>
                <v:shape id="任意多边形 17" o:spid="_x0000_s1045" style="position:absolute;left:6126;top:169;width:1602;height:2330;visibility:visible;mso-wrap-style:square;v-text-anchor:top" coordsize="3817687,4420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58UA&#10;AADcAAAADwAAAGRycy9kb3ducmV2LnhtbESP3UrDQBCF74W+wzIF7+yuRarEbkt/UASlkOoDDNkx&#10;CcnOht1tGt/euRC8m+GcOeeb9XbyvRoppjawhfuFAUVcBddybeHr8+XuCVTKyA77wGThhxJsN7Ob&#10;NRYuXLmk8ZxrJSGcCrTQ5DwUWqeqIY9pEQZi0b5D9JhljbV2Ea8S7nu9NGalPbYsDQ0OdGio6s4X&#10;b8G8Hkta8WE5dqddNB/d/v34WFp7O592z6AyTfnf/Hf95gT/QfDlGZl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wb/nxQAAANwAAAAPAAAAAAAAAAAAAAAAAJgCAABkcnMv&#10;ZG93bnJldi54bWxQSwUGAAAAAAQABAD1AAAAigMAAAAA&#10;" adj="-11796480,,5400" path="m3727152,4356962l3817687,536400,3337853,364384,2749378,228582,2351026,128994,1970780,11299v-253497,-36213,-307818,9053,-434566,217283l6178,3822808v-27160,313853,27161,510011,325925,561314l830044,4420336r2897108,-63374xe" strokecolor="#a6a6a6">
                  <v:stroke joinstyle="round"/>
                  <v:formulas/>
                  <v:path o:connecttype="custom" o:connectlocs="1564,2297;1602,283;1401,192;1154,120;987,68;827,6;645,120;3,2015;139,2311;348,2330;1564,2297" o:connectangles="0,0,0,0,0,0,0,0,0,0,0" textboxrect="0,0,11915,15177"/>
                  <v:textbox>
                    <w:txbxContent>
                      <w:p w:rsidR="000B5260" w:rsidRDefault="000B5260">
                        <w:pPr>
                          <w:ind w:firstLine="360"/>
                        </w:pPr>
                      </w:p>
                    </w:txbxContent>
                  </v:textbox>
                </v:shape>
                <v:rect id="TextBox 47" o:spid="_x0000_s1046" style="position:absolute;left:5650;top:2590;width:2747;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SHScIA&#10;AADcAAAADwAAAGRycy9kb3ducmV2LnhtbERPTWvCQBC9F/wPywi9lLpRRCR1FRHEUAQxWs9DdpoE&#10;s7Mxuybx37uFgrd5vM9ZrHpTiZYaV1pWMB5FIIgzq0vOFZxP2885COeRNVaWScGDHKyWg7cFxtp2&#10;fKQ29bkIIexiVFB4X8dSuqwgg25ka+LA/drGoA+wyaVusAvhppKTKJpJgyWHhgJr2hSUXdO7UdBl&#10;h/Zy2u/k4eOSWL4lt036863U+7Bff4Hw1PuX+N+d6DB/Ooa/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VIdJwgAAANwAAAAPAAAAAAAAAAAAAAAAAJgCAABkcnMvZG93&#10;bnJldi54bWxQSwUGAAAAAAQABAD1AAAAhwMAAAAA&#10;" filled="f" stroked="f">
                  <v:textbox>
                    <w:txbxContent>
                      <w:p w:rsidR="000B5260" w:rsidRDefault="000B5260">
                        <w:pPr>
                          <w:pStyle w:val="ad"/>
                          <w:spacing w:before="0" w:beforeAutospacing="0" w:after="0" w:afterAutospacing="0"/>
                          <w:ind w:firstLineChars="400" w:firstLine="840"/>
                          <w:textAlignment w:val="baseline"/>
                          <w:rPr>
                            <w:sz w:val="21"/>
                            <w:szCs w:val="21"/>
                          </w:rPr>
                        </w:pPr>
                        <w:r>
                          <w:rPr>
                            <w:rFonts w:hint="eastAsia"/>
                            <w:bCs/>
                            <w:color w:val="000000"/>
                            <w:kern w:val="24"/>
                            <w:sz w:val="21"/>
                            <w:szCs w:val="21"/>
                          </w:rPr>
                          <w:t>香港</w:t>
                        </w:r>
                        <w:r>
                          <w:rPr>
                            <w:bCs/>
                            <w:color w:val="000000"/>
                            <w:kern w:val="24"/>
                            <w:sz w:val="21"/>
                            <w:szCs w:val="21"/>
                          </w:rPr>
                          <w:t>ICC</w:t>
                        </w:r>
                      </w:p>
                    </w:txbxContent>
                  </v:textbox>
                </v:rect>
                <v:shape id="任意多边形 19" o:spid="_x0000_s1047" style="position:absolute;left:6192;top:247;width:1492;height:2172;visibility:visible;mso-wrap-style:square;v-text-anchor:top" coordsize="3817687,4420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ngtMQA&#10;AADcAAAADwAAAGRycy9kb3ducmV2LnhtbERPS2vCQBC+C/6HZQQvUjeVNkjqJkhRsPTkC3ocstNk&#10;MTubZrcm9dd3CwVv8/E9Z1UMthFX6rxxrOBxnoAgLp02XCk4HbcPSxA+IGtsHJOCH/JQ5OPRCjPt&#10;et7T9RAqEUPYZ6igDqHNpPRlTRb93LXEkft0ncUQYVdJ3WEfw20jF0mSSouGY0ONLb3WVF4O31ZB&#10;+ra7mQ2aquz3X7eP8/ssfd6QUtPJsH4BEWgId/G/e6fj/KcF/D0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54LTEAAAA3AAAAA8AAAAAAAAAAAAAAAAAmAIAAGRycy9k&#10;b3ducmV2LnhtbFBLBQYAAAAABAAEAPUAAACJAwAAAAA=&#10;" adj="-11796480,,5400" path="m3727152,4356962l3817687,536400,3337853,364384,2749378,228582,2351026,128994,1970780,11299v-253497,-36213,-307818,9053,-434566,217283l6178,3822808v-27160,313853,27161,510011,325925,561314l830044,4420336r2897108,-63374xe" fillcolor="#ffc000" strokecolor="white">
                  <v:stroke joinstyle="round"/>
                  <v:formulas/>
                  <v:path o:connecttype="custom" o:connectlocs="1457,2141;1492,264;1304,179;1074,112;919,63;770,6;600,112;2,1878;130,2154;324,2172;1457,2141" o:connectangles="0,0,0,0,0,0,0,0,0,0,0" textboxrect="0,0,12794,14246"/>
                  <v:textbox>
                    <w:txbxContent>
                      <w:p w:rsidR="000B5260" w:rsidRDefault="000B5260">
                        <w:pPr>
                          <w:ind w:firstLine="360"/>
                        </w:pPr>
                      </w:p>
                    </w:txbxContent>
                  </v:textbox>
                </v:shape>
                <v:rect id="TextBox 46" o:spid="_x0000_s1048" style="position:absolute;left:6684;top:1142;width:876;height: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q8pcMA&#10;AADcAAAADwAAAGRycy9kb3ducmV2LnhtbERPTWvCQBC9F/wPywheRDfaIp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q8pcMAAADcAAAADwAAAAAAAAAAAAAAAACYAgAAZHJzL2Rv&#10;d25yZXYueG1sUEsFBgAAAAAEAAQA9QAAAIgDAAAAAA==&#10;" filled="f" stroked="f">
                  <v:textbox>
                    <w:txbxContent>
                      <w:p w:rsidR="000B5260" w:rsidRDefault="000B5260">
                        <w:pPr>
                          <w:pStyle w:val="ad"/>
                          <w:spacing w:before="0" w:beforeAutospacing="0" w:after="0" w:afterAutospacing="0"/>
                          <w:ind w:firstLineChars="0" w:firstLine="0"/>
                          <w:textAlignment w:val="baseline"/>
                          <w:rPr>
                            <w:sz w:val="21"/>
                            <w:szCs w:val="21"/>
                          </w:rPr>
                        </w:pPr>
                        <w:r>
                          <w:rPr>
                            <w:rFonts w:hint="eastAsia"/>
                            <w:b/>
                            <w:bCs/>
                            <w:color w:val="000000"/>
                            <w:kern w:val="24"/>
                            <w:sz w:val="21"/>
                            <w:szCs w:val="21"/>
                          </w:rPr>
                          <w:t>100%</w:t>
                        </w:r>
                      </w:p>
                    </w:txbxContent>
                  </v:textbox>
                </v:rect>
                <w10:anchorlock/>
              </v:group>
            </w:pict>
          </mc:Fallback>
        </mc:AlternateContent>
      </w:r>
    </w:p>
    <w:p w:rsidR="002C72DC" w:rsidRPr="00B85FA7" w:rsidRDefault="008411D0">
      <w:pPr>
        <w:pStyle w:val="a"/>
      </w:pPr>
      <w:r w:rsidRPr="00B85FA7">
        <w:rPr>
          <w:rFonts w:hint="eastAsia"/>
        </w:rPr>
        <w:t>相关地铁上盖综合体建筑密度</w:t>
      </w:r>
    </w:p>
    <w:p w:rsidR="002C72DC" w:rsidRPr="00B85FA7" w:rsidRDefault="008411D0" w:rsidP="00D23FDD">
      <w:pPr>
        <w:pStyle w:val="31"/>
      </w:pPr>
      <w:r w:rsidRPr="00B85FA7">
        <w:rPr>
          <w:rFonts w:hint="eastAsia"/>
        </w:rPr>
        <w:t>组团站（</w:t>
      </w:r>
      <w:r w:rsidRPr="00B85FA7">
        <w:rPr>
          <w:rFonts w:ascii="宋体" w:hAnsi="宋体"/>
        </w:rPr>
        <w:t>C</w:t>
      </w:r>
      <w:r w:rsidRPr="00B85FA7">
        <w:rPr>
          <w:rFonts w:hint="eastAsia"/>
        </w:rPr>
        <w:t>类）：定位为组团级公共服务中心，是周边居住区的生活中心和公交换乘中心。站点核心区内鼓励进行综合体开发建设。</w:t>
      </w:r>
    </w:p>
    <w:p w:rsidR="002C72DC" w:rsidRPr="00B85FA7" w:rsidRDefault="008411D0" w:rsidP="00E174E9">
      <w:pPr>
        <w:pStyle w:val="4"/>
        <w:numPr>
          <w:ilvl w:val="3"/>
          <w:numId w:val="46"/>
        </w:numPr>
      </w:pPr>
      <w:r w:rsidRPr="00B85FA7">
        <w:lastRenderedPageBreak/>
        <w:t>功能</w:t>
      </w:r>
      <w:r w:rsidRPr="00B85FA7">
        <w:rPr>
          <w:rFonts w:hint="eastAsia"/>
        </w:rPr>
        <w:t>：</w:t>
      </w:r>
      <w:r w:rsidRPr="00B85FA7">
        <w:t>以商业服务业、公共管理与公共服务、居住等功能为主，在轨道站点核心区范围内，鼓励以多种形式</w:t>
      </w:r>
      <w:r w:rsidRPr="00B85FA7">
        <w:rPr>
          <w:rFonts w:hint="eastAsia"/>
        </w:rPr>
        <w:t>灵活利用立体空间，</w:t>
      </w:r>
      <w:r w:rsidRPr="00B85FA7">
        <w:t>提供为周边社区直接服务的中小学、幼儿园、公共医疗设施、文化设施</w:t>
      </w:r>
      <w:r w:rsidRPr="00B85FA7">
        <w:rPr>
          <w:rFonts w:hint="eastAsia"/>
        </w:rPr>
        <w:t>、养老设施、体育设施</w:t>
      </w:r>
      <w:r w:rsidRPr="00B85FA7">
        <w:t>等公共服务功能，鼓励以多种形式</w:t>
      </w:r>
      <w:r w:rsidRPr="00B85FA7">
        <w:rPr>
          <w:rFonts w:hint="eastAsia"/>
        </w:rPr>
        <w:t>灵活利用立体空间</w:t>
      </w:r>
      <w:r w:rsidRPr="00B85FA7">
        <w:t>提供公共</w:t>
      </w:r>
      <w:r w:rsidRPr="00B85FA7">
        <w:rPr>
          <w:rFonts w:hint="eastAsia"/>
        </w:rPr>
        <w:t>绿地和广场</w:t>
      </w:r>
      <w:r w:rsidRPr="00B85FA7">
        <w:t>。</w:t>
      </w:r>
    </w:p>
    <w:p w:rsidR="002C72DC" w:rsidRPr="00B85FA7" w:rsidRDefault="008411D0" w:rsidP="00C600EF">
      <w:pPr>
        <w:pStyle w:val="4"/>
      </w:pPr>
      <w:r w:rsidRPr="00B85FA7">
        <w:t>交通设施</w:t>
      </w:r>
      <w:r w:rsidRPr="00B85FA7">
        <w:rPr>
          <w:rFonts w:hint="eastAsia"/>
        </w:rPr>
        <w:t>：</w:t>
      </w:r>
      <w:r w:rsidRPr="00B85FA7">
        <w:t>应作为服务社区的</w:t>
      </w:r>
      <w:r w:rsidRPr="00B85FA7">
        <w:rPr>
          <w:rFonts w:hint="eastAsia"/>
        </w:rPr>
        <w:t>步行、自行车、地面</w:t>
      </w:r>
      <w:r w:rsidRPr="00B85FA7">
        <w:t>公交与轨道</w:t>
      </w:r>
      <w:r w:rsidRPr="00B85FA7">
        <w:rPr>
          <w:rFonts w:hint="eastAsia"/>
        </w:rPr>
        <w:t>交通</w:t>
      </w:r>
      <w:r w:rsidRPr="00B85FA7">
        <w:t>换乘的主要节点</w:t>
      </w:r>
      <w:r w:rsidRPr="00B85FA7">
        <w:rPr>
          <w:rFonts w:hint="eastAsia"/>
        </w:rPr>
        <w:t>。在城</w:t>
      </w:r>
      <w:r w:rsidRPr="00B85FA7">
        <w:t>市用地条件允许的情</w:t>
      </w:r>
      <w:r w:rsidRPr="00B85FA7">
        <w:rPr>
          <w:rFonts w:hint="eastAsia"/>
        </w:rPr>
        <w:t>况下，鼓励在道路红线以外的城市建设用地内安排公交枢纽设施功能。</w:t>
      </w:r>
    </w:p>
    <w:p w:rsidR="003C7929" w:rsidRPr="00B85FA7" w:rsidRDefault="008411D0" w:rsidP="00C600EF">
      <w:pPr>
        <w:pStyle w:val="4"/>
      </w:pPr>
      <w:r w:rsidRPr="00B85FA7">
        <w:rPr>
          <w:rFonts w:hint="eastAsia"/>
        </w:rPr>
        <w:t>建设强度：</w:t>
      </w:r>
    </w:p>
    <w:p w:rsidR="003C7929" w:rsidRPr="00B85FA7" w:rsidRDefault="008411D0" w:rsidP="00E174E9">
      <w:pPr>
        <w:pStyle w:val="5"/>
        <w:numPr>
          <w:ilvl w:val="4"/>
          <w:numId w:val="56"/>
        </w:numPr>
      </w:pPr>
      <w:r w:rsidRPr="00B85FA7">
        <w:t>I</w:t>
      </w:r>
      <w:r w:rsidRPr="00B85FA7">
        <w:rPr>
          <w:rFonts w:hint="eastAsia"/>
        </w:rPr>
        <w:t>级线网城市站点核心区范围内</w:t>
      </w:r>
      <w:r w:rsidR="00EA70B8">
        <w:rPr>
          <w:rFonts w:hint="eastAsia"/>
        </w:rPr>
        <w:t>地块</w:t>
      </w:r>
      <w:r w:rsidRPr="00B85FA7">
        <w:rPr>
          <w:rFonts w:hint="eastAsia"/>
        </w:rPr>
        <w:t>的</w:t>
      </w:r>
      <w:r w:rsidR="00EA70B8">
        <w:rPr>
          <w:rFonts w:hint="eastAsia"/>
        </w:rPr>
        <w:t>净</w:t>
      </w:r>
      <w:r w:rsidRPr="00B85FA7">
        <w:rPr>
          <w:rFonts w:hint="eastAsia"/>
        </w:rPr>
        <w:t>容积率下限一般可按</w:t>
      </w:r>
      <w:r w:rsidRPr="00B85FA7">
        <w:t>5</w:t>
      </w:r>
      <w:r w:rsidRPr="00B85FA7">
        <w:rPr>
          <w:rFonts w:hint="eastAsia"/>
        </w:rPr>
        <w:t>控制，轨道影响区范围内</w:t>
      </w:r>
      <w:r w:rsidR="00EA70B8">
        <w:rPr>
          <w:rFonts w:hint="eastAsia"/>
        </w:rPr>
        <w:t>地块</w:t>
      </w:r>
      <w:r w:rsidRPr="00B85FA7">
        <w:rPr>
          <w:rFonts w:hint="eastAsia"/>
        </w:rPr>
        <w:t>的</w:t>
      </w:r>
      <w:r w:rsidR="00EA70B8">
        <w:rPr>
          <w:rFonts w:hint="eastAsia"/>
        </w:rPr>
        <w:t>净</w:t>
      </w:r>
      <w:r w:rsidRPr="00B85FA7">
        <w:rPr>
          <w:rFonts w:hint="eastAsia"/>
        </w:rPr>
        <w:t>容积率下限一般可按</w:t>
      </w:r>
      <w:r w:rsidRPr="00B85FA7">
        <w:t>3.5</w:t>
      </w:r>
      <w:r w:rsidRPr="00B85FA7">
        <w:rPr>
          <w:rFonts w:hint="eastAsia"/>
        </w:rPr>
        <w:t>控制。</w:t>
      </w:r>
    </w:p>
    <w:p w:rsidR="003C7929" w:rsidRPr="00B85FA7" w:rsidRDefault="008411D0" w:rsidP="00E174E9">
      <w:pPr>
        <w:pStyle w:val="5"/>
        <w:numPr>
          <w:ilvl w:val="4"/>
          <w:numId w:val="12"/>
        </w:numPr>
      </w:pPr>
      <w:r w:rsidRPr="00B85FA7">
        <w:t>II</w:t>
      </w:r>
      <w:r w:rsidRPr="00B85FA7">
        <w:rPr>
          <w:rFonts w:hint="eastAsia"/>
        </w:rPr>
        <w:t>级线网城市站点核心区范围内</w:t>
      </w:r>
      <w:r w:rsidR="00EA70B8">
        <w:rPr>
          <w:rFonts w:hint="eastAsia"/>
        </w:rPr>
        <w:t>地块</w:t>
      </w:r>
      <w:r w:rsidRPr="00B85FA7">
        <w:rPr>
          <w:rFonts w:hint="eastAsia"/>
        </w:rPr>
        <w:t>的</w:t>
      </w:r>
      <w:r w:rsidR="00EA70B8">
        <w:rPr>
          <w:rFonts w:hint="eastAsia"/>
        </w:rPr>
        <w:t>净</w:t>
      </w:r>
      <w:r w:rsidRPr="00B85FA7">
        <w:rPr>
          <w:rFonts w:hint="eastAsia"/>
        </w:rPr>
        <w:t>容积率下限一般可按</w:t>
      </w:r>
      <w:r w:rsidRPr="00B85FA7">
        <w:t>3</w:t>
      </w:r>
      <w:r w:rsidRPr="00B85FA7">
        <w:rPr>
          <w:rFonts w:hint="eastAsia"/>
        </w:rPr>
        <w:t>控制，轨道影响区范围内地</w:t>
      </w:r>
      <w:r w:rsidR="00EA70B8">
        <w:rPr>
          <w:rFonts w:hint="eastAsia"/>
        </w:rPr>
        <w:t>块</w:t>
      </w:r>
      <w:r w:rsidRPr="00B85FA7">
        <w:rPr>
          <w:rFonts w:hint="eastAsia"/>
        </w:rPr>
        <w:t>的</w:t>
      </w:r>
      <w:r w:rsidR="00EA70B8">
        <w:rPr>
          <w:rFonts w:hint="eastAsia"/>
        </w:rPr>
        <w:t>净</w:t>
      </w:r>
      <w:r w:rsidRPr="00B85FA7">
        <w:rPr>
          <w:rFonts w:hint="eastAsia"/>
        </w:rPr>
        <w:t>容积率下限一般可按</w:t>
      </w:r>
      <w:r w:rsidRPr="00B85FA7">
        <w:t>2.5</w:t>
      </w:r>
      <w:r w:rsidRPr="00B85FA7">
        <w:rPr>
          <w:rFonts w:hint="eastAsia"/>
        </w:rPr>
        <w:t>控制。</w:t>
      </w:r>
    </w:p>
    <w:p w:rsidR="003C7929" w:rsidRPr="00B85FA7" w:rsidRDefault="008411D0" w:rsidP="00E174E9">
      <w:pPr>
        <w:pStyle w:val="5"/>
        <w:numPr>
          <w:ilvl w:val="4"/>
          <w:numId w:val="12"/>
        </w:numPr>
      </w:pPr>
      <w:r w:rsidRPr="00B85FA7">
        <w:rPr>
          <w:rFonts w:hint="eastAsia"/>
        </w:rPr>
        <w:t>如用于居住功能，则居住功能部分的容积率仍然要考虑上限，以保证良好的人居环境。</w:t>
      </w:r>
    </w:p>
    <w:p w:rsidR="003C7929" w:rsidRPr="00B85FA7" w:rsidRDefault="008411D0" w:rsidP="00E174E9">
      <w:pPr>
        <w:pStyle w:val="5"/>
        <w:numPr>
          <w:ilvl w:val="4"/>
          <w:numId w:val="12"/>
        </w:numPr>
      </w:pPr>
      <w:r w:rsidRPr="00B85FA7">
        <w:rPr>
          <w:rFonts w:hint="eastAsia"/>
        </w:rPr>
        <w:t>结合</w:t>
      </w:r>
      <w:proofErr w:type="gramStart"/>
      <w:r w:rsidRPr="00B85FA7">
        <w:rPr>
          <w:rFonts w:hint="eastAsia"/>
        </w:rPr>
        <w:t>组团站布置</w:t>
      </w:r>
      <w:proofErr w:type="gramEnd"/>
      <w:r w:rsidRPr="00B85FA7">
        <w:rPr>
          <w:rFonts w:hint="eastAsia"/>
        </w:rPr>
        <w:t>的体育场馆、大学等，容积率可根据实际情况确定。</w:t>
      </w:r>
    </w:p>
    <w:p w:rsidR="003C7929" w:rsidRPr="00B85FA7" w:rsidRDefault="008411D0" w:rsidP="00E174E9">
      <w:pPr>
        <w:pStyle w:val="5"/>
        <w:numPr>
          <w:ilvl w:val="4"/>
          <w:numId w:val="12"/>
        </w:numPr>
      </w:pPr>
      <w:r w:rsidRPr="00B85FA7">
        <w:rPr>
          <w:rFonts w:hint="eastAsia"/>
        </w:rPr>
        <w:t>用地在既有建成区的城市更新项目，应综合考虑交通与环境承载力的要求，确定实际建设强度。</w:t>
      </w:r>
    </w:p>
    <w:p w:rsidR="002C72DC" w:rsidRPr="00B85FA7" w:rsidRDefault="008411D0" w:rsidP="00E174E9">
      <w:pPr>
        <w:pStyle w:val="5"/>
        <w:numPr>
          <w:ilvl w:val="4"/>
          <w:numId w:val="13"/>
        </w:numPr>
      </w:pPr>
      <w:r w:rsidRPr="00B85FA7">
        <w:rPr>
          <w:rFonts w:hint="eastAsia"/>
        </w:rPr>
        <w:t>山地城市可因地制宜，在保证环境品质基础上进一步确定实际建设强度。</w:t>
      </w:r>
    </w:p>
    <w:p w:rsidR="002C72DC" w:rsidRPr="00B85FA7" w:rsidRDefault="008411D0" w:rsidP="00C600EF">
      <w:pPr>
        <w:pStyle w:val="4"/>
      </w:pPr>
      <w:r w:rsidRPr="00B85FA7">
        <w:t>绿地率：鼓励设置立体绿化，并按照一定比例将立体绿化面积折算为绿地面积，纳入绿</w:t>
      </w:r>
      <w:r w:rsidRPr="00B85FA7">
        <w:rPr>
          <w:rFonts w:hint="eastAsia"/>
        </w:rPr>
        <w:t>地</w:t>
      </w:r>
      <w:r w:rsidRPr="00B85FA7">
        <w:t>率计算。</w:t>
      </w:r>
    </w:p>
    <w:p w:rsidR="002C72DC" w:rsidRPr="00B85FA7" w:rsidRDefault="008411D0" w:rsidP="00C600EF">
      <w:pPr>
        <w:pStyle w:val="4"/>
      </w:pPr>
      <w:r w:rsidRPr="00B85FA7">
        <w:t>地下空间：鼓励综合体利用地下空间设置地下商业、娱乐等经营性功能。</w:t>
      </w:r>
    </w:p>
    <w:p w:rsidR="002C72DC" w:rsidRPr="00B85FA7" w:rsidRDefault="008411D0" w:rsidP="00D23FDD">
      <w:pPr>
        <w:pStyle w:val="31"/>
      </w:pPr>
      <w:r w:rsidRPr="00B85FA7">
        <w:rPr>
          <w:rFonts w:hint="eastAsia"/>
        </w:rPr>
        <w:t>特殊控制站（</w:t>
      </w:r>
      <w:r w:rsidRPr="00B85FA7">
        <w:rPr>
          <w:rFonts w:ascii="宋体" w:hAnsi="宋体"/>
        </w:rPr>
        <w:t>D</w:t>
      </w:r>
      <w:r w:rsidRPr="00B85FA7">
        <w:rPr>
          <w:rFonts w:hint="eastAsia"/>
        </w:rPr>
        <w:t>类）：建设强度、建筑密度、建筑高度、绿地率等按照城市相关规定控制。</w:t>
      </w:r>
    </w:p>
    <w:p w:rsidR="002C72DC" w:rsidRPr="00B85FA7" w:rsidRDefault="008411D0" w:rsidP="0085732D">
      <w:pPr>
        <w:pStyle w:val="31"/>
      </w:pPr>
      <w:r w:rsidRPr="00B85FA7">
        <w:rPr>
          <w:rFonts w:hint="eastAsia"/>
        </w:rPr>
        <w:t>端头站（</w:t>
      </w:r>
      <w:r w:rsidRPr="00B85FA7">
        <w:rPr>
          <w:rFonts w:ascii="宋体" w:hAnsi="宋体"/>
        </w:rPr>
        <w:t>E</w:t>
      </w:r>
      <w:r w:rsidRPr="00B85FA7">
        <w:rPr>
          <w:rFonts w:hint="eastAsia"/>
        </w:rPr>
        <w:t>类）：定位为城市郊区型社区的公共服务中心和交通换乘中心。</w:t>
      </w:r>
    </w:p>
    <w:p w:rsidR="002C72DC" w:rsidRPr="00B85FA7" w:rsidRDefault="008411D0" w:rsidP="00E174E9">
      <w:pPr>
        <w:pStyle w:val="4"/>
        <w:numPr>
          <w:ilvl w:val="3"/>
          <w:numId w:val="47"/>
        </w:numPr>
      </w:pPr>
      <w:r w:rsidRPr="00B85FA7">
        <w:rPr>
          <w:rFonts w:hint="eastAsia"/>
        </w:rPr>
        <w:t>功能：鼓励结合车辆段进行用地功能混合开发。周边用地应尽量避免单一用途的居住用地。</w:t>
      </w:r>
    </w:p>
    <w:p w:rsidR="002C72DC" w:rsidRPr="00B85FA7" w:rsidRDefault="00291A3A">
      <w:pPr>
        <w:pStyle w:val="af3"/>
        <w:ind w:firstLineChars="0" w:firstLine="0"/>
        <w:jc w:val="center"/>
      </w:pPr>
      <w:r w:rsidRPr="00B85FA7">
        <w:rPr>
          <w:noProof/>
        </w:rPr>
        <w:lastRenderedPageBreak/>
        <w:drawing>
          <wp:inline distT="0" distB="0" distL="0" distR="0" wp14:anchorId="797BB728" wp14:editId="1A2E7E15">
            <wp:extent cx="5050681" cy="2397058"/>
            <wp:effectExtent l="0" t="0" r="0" b="3810"/>
            <wp:docPr id="13"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72637" cy="2407478"/>
                    </a:xfrm>
                    <a:prstGeom prst="rect">
                      <a:avLst/>
                    </a:prstGeom>
                    <a:noFill/>
                    <a:ln>
                      <a:noFill/>
                    </a:ln>
                  </pic:spPr>
                </pic:pic>
              </a:graphicData>
            </a:graphic>
          </wp:inline>
        </w:drawing>
      </w:r>
    </w:p>
    <w:p w:rsidR="002C72DC" w:rsidRPr="00B85FA7" w:rsidRDefault="008411D0">
      <w:pPr>
        <w:pStyle w:val="a"/>
      </w:pPr>
      <w:r w:rsidRPr="00B85FA7">
        <w:rPr>
          <w:rFonts w:hint="eastAsia"/>
        </w:rPr>
        <w:t>端头</w:t>
      </w:r>
      <w:proofErr w:type="gramStart"/>
      <w:r w:rsidRPr="00B85FA7">
        <w:rPr>
          <w:rFonts w:hint="eastAsia"/>
        </w:rPr>
        <w:t>站结合</w:t>
      </w:r>
      <w:proofErr w:type="gramEnd"/>
      <w:r w:rsidRPr="00B85FA7">
        <w:rPr>
          <w:rFonts w:hint="eastAsia"/>
        </w:rPr>
        <w:t>车辆段的混合开发示例</w:t>
      </w:r>
    </w:p>
    <w:p w:rsidR="002C72DC" w:rsidRPr="00B85FA7" w:rsidRDefault="008411D0" w:rsidP="00C600EF">
      <w:pPr>
        <w:pStyle w:val="4"/>
      </w:pPr>
      <w:r w:rsidRPr="00B85FA7">
        <w:rPr>
          <w:rFonts w:hint="eastAsia"/>
        </w:rPr>
        <w:t>交通设施：应设置公交枢纽、出租汽车停车场、自行车停车场</w:t>
      </w:r>
      <w:r w:rsidR="000E5F9E" w:rsidRPr="00B85FA7">
        <w:rPr>
          <w:rFonts w:hint="eastAsia"/>
        </w:rPr>
        <w:t>。</w:t>
      </w:r>
      <w:r w:rsidRPr="00B85FA7">
        <w:rPr>
          <w:rFonts w:hint="eastAsia"/>
        </w:rPr>
        <w:t>位于城市中心区以外的可设置</w:t>
      </w:r>
      <w:r w:rsidRPr="00B85FA7">
        <w:t>P+R</w:t>
      </w:r>
      <w:r w:rsidRPr="00B85FA7">
        <w:rPr>
          <w:rFonts w:hint="eastAsia"/>
        </w:rPr>
        <w:t>停车场。</w:t>
      </w:r>
    </w:p>
    <w:p w:rsidR="003C7929" w:rsidRPr="00B85FA7" w:rsidRDefault="008411D0" w:rsidP="00C600EF">
      <w:pPr>
        <w:pStyle w:val="4"/>
      </w:pPr>
      <w:r w:rsidRPr="00B85FA7">
        <w:rPr>
          <w:rFonts w:hint="eastAsia"/>
        </w:rPr>
        <w:t>建设强度：</w:t>
      </w:r>
    </w:p>
    <w:p w:rsidR="008A5BA9" w:rsidRPr="00B85FA7" w:rsidRDefault="008A5BA9" w:rsidP="00E174E9">
      <w:pPr>
        <w:pStyle w:val="5"/>
        <w:numPr>
          <w:ilvl w:val="4"/>
          <w:numId w:val="16"/>
        </w:numPr>
      </w:pPr>
      <w:r w:rsidRPr="00B85FA7">
        <w:t>I</w:t>
      </w:r>
      <w:r w:rsidRPr="00B85FA7">
        <w:rPr>
          <w:rFonts w:hint="eastAsia"/>
        </w:rPr>
        <w:t>级线网城市站点核心区范围内</w:t>
      </w:r>
      <w:r w:rsidR="00EA70B8">
        <w:rPr>
          <w:rFonts w:hint="eastAsia"/>
        </w:rPr>
        <w:t>地块</w:t>
      </w:r>
      <w:r w:rsidRPr="00B85FA7">
        <w:rPr>
          <w:rFonts w:hint="eastAsia"/>
        </w:rPr>
        <w:t>的</w:t>
      </w:r>
      <w:r w:rsidR="00EA70B8">
        <w:rPr>
          <w:rFonts w:hint="eastAsia"/>
        </w:rPr>
        <w:t>净</w:t>
      </w:r>
      <w:r w:rsidRPr="00B85FA7">
        <w:rPr>
          <w:rFonts w:hint="eastAsia"/>
        </w:rPr>
        <w:t>容积率下限</w:t>
      </w:r>
      <w:r w:rsidR="006528A0" w:rsidRPr="00B85FA7">
        <w:rPr>
          <w:rFonts w:hint="eastAsia"/>
        </w:rPr>
        <w:t>为</w:t>
      </w:r>
      <w:r w:rsidRPr="00B85FA7">
        <w:rPr>
          <w:rFonts w:hint="eastAsia"/>
        </w:rPr>
        <w:t>2</w:t>
      </w:r>
      <w:r w:rsidRPr="00B85FA7">
        <w:t>.5</w:t>
      </w:r>
      <w:r w:rsidRPr="00B85FA7">
        <w:rPr>
          <w:rFonts w:hint="eastAsia"/>
        </w:rPr>
        <w:t>，轨道影响区范围内</w:t>
      </w:r>
      <w:r w:rsidR="00EA70B8">
        <w:rPr>
          <w:rFonts w:hint="eastAsia"/>
        </w:rPr>
        <w:t>地块</w:t>
      </w:r>
      <w:r w:rsidRPr="00B85FA7">
        <w:rPr>
          <w:rFonts w:hint="eastAsia"/>
        </w:rPr>
        <w:t>的</w:t>
      </w:r>
      <w:r w:rsidR="00EA70B8">
        <w:rPr>
          <w:rFonts w:hint="eastAsia"/>
        </w:rPr>
        <w:t>净</w:t>
      </w:r>
      <w:r w:rsidRPr="00B85FA7">
        <w:rPr>
          <w:rFonts w:hint="eastAsia"/>
        </w:rPr>
        <w:t>容积率下限为</w:t>
      </w:r>
      <w:r w:rsidRPr="00B85FA7">
        <w:t>2</w:t>
      </w:r>
      <w:r w:rsidRPr="00B85FA7">
        <w:rPr>
          <w:rFonts w:hint="eastAsia"/>
        </w:rPr>
        <w:t>。</w:t>
      </w:r>
    </w:p>
    <w:p w:rsidR="008A5BA9" w:rsidRPr="00B85FA7" w:rsidRDefault="008A5BA9" w:rsidP="00E174E9">
      <w:pPr>
        <w:pStyle w:val="5"/>
        <w:numPr>
          <w:ilvl w:val="4"/>
          <w:numId w:val="16"/>
        </w:numPr>
      </w:pPr>
      <w:r w:rsidRPr="00B85FA7">
        <w:t>II</w:t>
      </w:r>
      <w:r w:rsidRPr="00B85FA7">
        <w:rPr>
          <w:rFonts w:hint="eastAsia"/>
        </w:rPr>
        <w:t>级线网城市站点核心区范围内</w:t>
      </w:r>
      <w:r w:rsidR="00EA70B8">
        <w:rPr>
          <w:rFonts w:hint="eastAsia"/>
        </w:rPr>
        <w:t>地块</w:t>
      </w:r>
      <w:r w:rsidRPr="00B85FA7">
        <w:rPr>
          <w:rFonts w:hint="eastAsia"/>
        </w:rPr>
        <w:t>的</w:t>
      </w:r>
      <w:r w:rsidR="00EA70B8">
        <w:rPr>
          <w:rFonts w:hint="eastAsia"/>
        </w:rPr>
        <w:t>净</w:t>
      </w:r>
      <w:r w:rsidRPr="00B85FA7">
        <w:rPr>
          <w:rFonts w:hint="eastAsia"/>
        </w:rPr>
        <w:t>容积率下限为</w:t>
      </w:r>
      <w:r w:rsidRPr="00B85FA7">
        <w:t>2</w:t>
      </w:r>
      <w:r w:rsidRPr="00B85FA7">
        <w:rPr>
          <w:rFonts w:hint="eastAsia"/>
        </w:rPr>
        <w:t>，轨道影响区范围内</w:t>
      </w:r>
      <w:r w:rsidR="00EA70B8">
        <w:rPr>
          <w:rFonts w:hint="eastAsia"/>
        </w:rPr>
        <w:t>地块</w:t>
      </w:r>
      <w:r w:rsidRPr="00B85FA7">
        <w:rPr>
          <w:rFonts w:hint="eastAsia"/>
        </w:rPr>
        <w:t>的</w:t>
      </w:r>
      <w:r w:rsidR="00EA70B8">
        <w:rPr>
          <w:rFonts w:hint="eastAsia"/>
        </w:rPr>
        <w:t>净</w:t>
      </w:r>
      <w:r w:rsidRPr="00B85FA7">
        <w:rPr>
          <w:rFonts w:hint="eastAsia"/>
        </w:rPr>
        <w:t>容积率下限为</w:t>
      </w:r>
      <w:r w:rsidRPr="00B85FA7">
        <w:t>1.5</w:t>
      </w:r>
      <w:r w:rsidRPr="00B85FA7">
        <w:rPr>
          <w:rFonts w:hint="eastAsia"/>
        </w:rPr>
        <w:t>。</w:t>
      </w:r>
    </w:p>
    <w:p w:rsidR="008A5BA9" w:rsidRPr="00B85FA7" w:rsidRDefault="008A5BA9" w:rsidP="00E174E9">
      <w:pPr>
        <w:pStyle w:val="5"/>
        <w:numPr>
          <w:ilvl w:val="4"/>
          <w:numId w:val="16"/>
        </w:numPr>
      </w:pPr>
      <w:r w:rsidRPr="00B85FA7">
        <w:rPr>
          <w:rFonts w:hint="eastAsia"/>
        </w:rPr>
        <w:t>如用于居住功能，则居住功能部分的容积率仍然要考虑上限，以保证良好的人居环境。</w:t>
      </w:r>
    </w:p>
    <w:p w:rsidR="008A5BA9" w:rsidRPr="00B85FA7" w:rsidRDefault="008A5BA9" w:rsidP="00E174E9">
      <w:pPr>
        <w:pStyle w:val="5"/>
        <w:numPr>
          <w:ilvl w:val="4"/>
          <w:numId w:val="16"/>
        </w:numPr>
      </w:pPr>
      <w:r w:rsidRPr="00B85FA7">
        <w:rPr>
          <w:rFonts w:hint="eastAsia"/>
        </w:rPr>
        <w:t>在既有建成区的城市更新项目，应综合考虑交通与环境承载力的要求，确定实际建设强度。</w:t>
      </w:r>
    </w:p>
    <w:p w:rsidR="008A5BA9" w:rsidRPr="00B85FA7" w:rsidRDefault="008A5BA9" w:rsidP="00E174E9">
      <w:pPr>
        <w:pStyle w:val="5"/>
        <w:numPr>
          <w:ilvl w:val="4"/>
          <w:numId w:val="16"/>
        </w:numPr>
      </w:pPr>
      <w:r w:rsidRPr="00B85FA7">
        <w:rPr>
          <w:rFonts w:hint="eastAsia"/>
        </w:rPr>
        <w:t>山地城市可因地制宜，在保证环境品质基础上进一步确定实际建设强度。</w:t>
      </w:r>
    </w:p>
    <w:p w:rsidR="002C72DC" w:rsidRPr="00B85FA7" w:rsidRDefault="008411D0" w:rsidP="00C600EF">
      <w:pPr>
        <w:pStyle w:val="4"/>
      </w:pPr>
      <w:r w:rsidRPr="00B85FA7">
        <w:rPr>
          <w:rFonts w:hint="eastAsia"/>
        </w:rPr>
        <w:t>绿地率：鼓励设置立体绿化，并按照一定比例将立体绿化面积折算为绿地面积，纳入绿地率计算。</w:t>
      </w:r>
    </w:p>
    <w:p w:rsidR="002C72DC" w:rsidRPr="00B85FA7" w:rsidRDefault="008411D0" w:rsidP="00C600EF">
      <w:pPr>
        <w:pStyle w:val="4"/>
      </w:pPr>
      <w:r w:rsidRPr="00B85FA7">
        <w:rPr>
          <w:rFonts w:hint="eastAsia"/>
        </w:rPr>
        <w:t>地下空间：鼓励利用地下空间设置地下商业、停车等功能。</w:t>
      </w:r>
    </w:p>
    <w:p w:rsidR="002C72DC" w:rsidRPr="00B85FA7" w:rsidRDefault="008411D0" w:rsidP="0085732D">
      <w:pPr>
        <w:pStyle w:val="31"/>
      </w:pPr>
      <w:r w:rsidRPr="00B85FA7">
        <w:rPr>
          <w:rFonts w:hint="eastAsia"/>
        </w:rPr>
        <w:t>一般站（</w:t>
      </w:r>
      <w:r w:rsidRPr="00B85FA7">
        <w:rPr>
          <w:rFonts w:ascii="宋体" w:hAnsi="宋体"/>
        </w:rPr>
        <w:t>F</w:t>
      </w:r>
      <w:r w:rsidRPr="00B85FA7">
        <w:rPr>
          <w:rFonts w:hint="eastAsia"/>
        </w:rPr>
        <w:t>类）：定位为城市居住社区或就业密度高、通勤需求较强的产业区。</w:t>
      </w:r>
    </w:p>
    <w:p w:rsidR="002C72DC" w:rsidRPr="00B85FA7" w:rsidRDefault="008411D0" w:rsidP="00E174E9">
      <w:pPr>
        <w:pStyle w:val="4"/>
        <w:numPr>
          <w:ilvl w:val="3"/>
          <w:numId w:val="48"/>
        </w:numPr>
      </w:pPr>
      <w:r w:rsidRPr="00B85FA7">
        <w:rPr>
          <w:rFonts w:hint="eastAsia"/>
        </w:rPr>
        <w:lastRenderedPageBreak/>
        <w:t>功能：根据城市规划确定，鼓励混合开发。</w:t>
      </w:r>
    </w:p>
    <w:p w:rsidR="003C7929" w:rsidRPr="00B85FA7" w:rsidRDefault="008411D0" w:rsidP="00C600EF">
      <w:pPr>
        <w:pStyle w:val="4"/>
      </w:pPr>
      <w:r w:rsidRPr="00B85FA7">
        <w:rPr>
          <w:rFonts w:hint="eastAsia"/>
        </w:rPr>
        <w:t>建设强度：</w:t>
      </w:r>
    </w:p>
    <w:p w:rsidR="003C7929" w:rsidRPr="00B85FA7" w:rsidRDefault="008411D0" w:rsidP="00E174E9">
      <w:pPr>
        <w:pStyle w:val="5"/>
        <w:numPr>
          <w:ilvl w:val="4"/>
          <w:numId w:val="14"/>
        </w:numPr>
      </w:pPr>
      <w:r w:rsidRPr="00B85FA7">
        <w:t>I</w:t>
      </w:r>
      <w:r w:rsidRPr="00B85FA7">
        <w:rPr>
          <w:rFonts w:hint="eastAsia"/>
        </w:rPr>
        <w:t>级线网城市站点核心区范围内</w:t>
      </w:r>
      <w:r w:rsidR="00EA70B8">
        <w:rPr>
          <w:rFonts w:hint="eastAsia"/>
        </w:rPr>
        <w:t>地块</w:t>
      </w:r>
      <w:r w:rsidRPr="00B85FA7">
        <w:rPr>
          <w:rFonts w:hint="eastAsia"/>
        </w:rPr>
        <w:t>的</w:t>
      </w:r>
      <w:r w:rsidR="00EA70B8">
        <w:rPr>
          <w:rFonts w:hint="eastAsia"/>
        </w:rPr>
        <w:t>净</w:t>
      </w:r>
      <w:r w:rsidRPr="00B85FA7">
        <w:rPr>
          <w:rFonts w:hint="eastAsia"/>
        </w:rPr>
        <w:t>容积率下限为</w:t>
      </w:r>
      <w:r w:rsidRPr="00B85FA7">
        <w:t>2.5</w:t>
      </w:r>
      <w:r w:rsidRPr="00B85FA7">
        <w:rPr>
          <w:rFonts w:hint="eastAsia"/>
        </w:rPr>
        <w:t>，轨道影响区范围内</w:t>
      </w:r>
      <w:r w:rsidR="00EA70B8">
        <w:rPr>
          <w:rFonts w:hint="eastAsia"/>
        </w:rPr>
        <w:t>地块</w:t>
      </w:r>
      <w:r w:rsidRPr="00B85FA7">
        <w:rPr>
          <w:rFonts w:hint="eastAsia"/>
        </w:rPr>
        <w:t>的</w:t>
      </w:r>
      <w:r w:rsidR="00EA70B8">
        <w:rPr>
          <w:rFonts w:hint="eastAsia"/>
        </w:rPr>
        <w:t>净</w:t>
      </w:r>
      <w:r w:rsidRPr="00B85FA7">
        <w:rPr>
          <w:rFonts w:hint="eastAsia"/>
        </w:rPr>
        <w:t>容积率下限为</w:t>
      </w:r>
      <w:r w:rsidRPr="00B85FA7">
        <w:t>2</w:t>
      </w:r>
      <w:r w:rsidRPr="00B85FA7">
        <w:rPr>
          <w:rFonts w:hint="eastAsia"/>
        </w:rPr>
        <w:t>。</w:t>
      </w:r>
    </w:p>
    <w:p w:rsidR="003C7929" w:rsidRPr="00B85FA7" w:rsidRDefault="008411D0" w:rsidP="00693C2A">
      <w:pPr>
        <w:pStyle w:val="5"/>
        <w:numPr>
          <w:ilvl w:val="4"/>
          <w:numId w:val="14"/>
        </w:numPr>
      </w:pPr>
      <w:r w:rsidRPr="00B85FA7">
        <w:t>II</w:t>
      </w:r>
      <w:r w:rsidRPr="00B85FA7">
        <w:rPr>
          <w:rFonts w:hint="eastAsia"/>
        </w:rPr>
        <w:t>级线网城市站点核心区范围内</w:t>
      </w:r>
      <w:r w:rsidR="00EA70B8">
        <w:rPr>
          <w:rFonts w:hint="eastAsia"/>
        </w:rPr>
        <w:t>地块</w:t>
      </w:r>
      <w:r w:rsidRPr="00B85FA7">
        <w:rPr>
          <w:rFonts w:hint="eastAsia"/>
        </w:rPr>
        <w:t>的</w:t>
      </w:r>
      <w:r w:rsidR="00EA70B8">
        <w:rPr>
          <w:rFonts w:hint="eastAsia"/>
        </w:rPr>
        <w:t>净</w:t>
      </w:r>
      <w:r w:rsidRPr="00B85FA7">
        <w:rPr>
          <w:rFonts w:hint="eastAsia"/>
        </w:rPr>
        <w:t>容积率下限为</w:t>
      </w:r>
      <w:r w:rsidRPr="00B85FA7">
        <w:t>2</w:t>
      </w:r>
      <w:r w:rsidRPr="00B85FA7">
        <w:rPr>
          <w:rFonts w:hint="eastAsia"/>
        </w:rPr>
        <w:t>，轨道影响区范围内</w:t>
      </w:r>
      <w:r w:rsidR="00EA70B8">
        <w:rPr>
          <w:rFonts w:hint="eastAsia"/>
        </w:rPr>
        <w:t>地块</w:t>
      </w:r>
      <w:r w:rsidRPr="00B85FA7">
        <w:rPr>
          <w:rFonts w:hint="eastAsia"/>
        </w:rPr>
        <w:t>的</w:t>
      </w:r>
      <w:r w:rsidR="00EA70B8">
        <w:rPr>
          <w:rFonts w:hint="eastAsia"/>
        </w:rPr>
        <w:t>净</w:t>
      </w:r>
      <w:r w:rsidRPr="00B85FA7">
        <w:rPr>
          <w:rFonts w:hint="eastAsia"/>
        </w:rPr>
        <w:t>容积率下限为</w:t>
      </w:r>
      <w:r w:rsidRPr="00B85FA7">
        <w:t>1.5</w:t>
      </w:r>
      <w:r w:rsidRPr="00B85FA7">
        <w:rPr>
          <w:rFonts w:hint="eastAsia"/>
        </w:rPr>
        <w:t>。</w:t>
      </w:r>
    </w:p>
    <w:p w:rsidR="003C7929" w:rsidRPr="00B85FA7" w:rsidRDefault="008411D0" w:rsidP="00693C2A">
      <w:pPr>
        <w:pStyle w:val="5"/>
        <w:numPr>
          <w:ilvl w:val="4"/>
          <w:numId w:val="14"/>
        </w:numPr>
      </w:pPr>
      <w:r w:rsidRPr="00B85FA7">
        <w:rPr>
          <w:rFonts w:hint="eastAsia"/>
        </w:rPr>
        <w:t>如用于居住功能，则居住功能部分的容积率仍然要考虑上限，以保证良好的人居环境。</w:t>
      </w:r>
    </w:p>
    <w:p w:rsidR="003C7929" w:rsidRPr="00B85FA7" w:rsidRDefault="008411D0" w:rsidP="00693C2A">
      <w:pPr>
        <w:pStyle w:val="5"/>
        <w:numPr>
          <w:ilvl w:val="4"/>
          <w:numId w:val="14"/>
        </w:numPr>
      </w:pPr>
      <w:r w:rsidRPr="00B85FA7">
        <w:rPr>
          <w:rFonts w:hint="eastAsia"/>
        </w:rPr>
        <w:t>在既有建成区的城市更新项目，应综合考虑交通与环境承载力的要求，确定实际建设强度。</w:t>
      </w:r>
    </w:p>
    <w:p w:rsidR="002C72DC" w:rsidRPr="00B85FA7" w:rsidRDefault="008411D0" w:rsidP="00693C2A">
      <w:pPr>
        <w:pStyle w:val="5"/>
        <w:numPr>
          <w:ilvl w:val="4"/>
          <w:numId w:val="14"/>
        </w:numPr>
      </w:pPr>
      <w:r w:rsidRPr="00B85FA7">
        <w:rPr>
          <w:rFonts w:hint="eastAsia"/>
        </w:rPr>
        <w:t>山地城市可因地制宜，在保证环境品质基础上进一步确定实际建设强度。</w:t>
      </w:r>
    </w:p>
    <w:p w:rsidR="002C72DC" w:rsidRPr="00B85FA7" w:rsidRDefault="008411D0" w:rsidP="00C600EF">
      <w:pPr>
        <w:pStyle w:val="4"/>
      </w:pPr>
      <w:r w:rsidRPr="00B85FA7">
        <w:rPr>
          <w:rFonts w:hint="eastAsia"/>
        </w:rPr>
        <w:t>其他要素：建筑密度、绿地率、公共配套等控制要求按照各城市相关标准与规范执行。</w:t>
      </w:r>
    </w:p>
    <w:p w:rsidR="002C72DC" w:rsidRPr="00B85FA7" w:rsidRDefault="008411D0" w:rsidP="00C600EF">
      <w:pPr>
        <w:pStyle w:val="4"/>
      </w:pPr>
      <w:r w:rsidRPr="00B85FA7">
        <w:rPr>
          <w:rFonts w:hint="eastAsia"/>
        </w:rPr>
        <w:t>交通设施：应设置自行车停车场</w:t>
      </w:r>
      <w:r w:rsidR="00AC215C" w:rsidRPr="00B85FA7">
        <w:rPr>
          <w:rFonts w:hint="eastAsia"/>
        </w:rPr>
        <w:t>，</w:t>
      </w:r>
      <w:r w:rsidRPr="00B85FA7">
        <w:rPr>
          <w:rFonts w:hint="eastAsia"/>
        </w:rPr>
        <w:t>并可根据需要设置</w:t>
      </w:r>
      <w:r w:rsidR="00B92CC3" w:rsidRPr="00B85FA7">
        <w:rPr>
          <w:rFonts w:hint="eastAsia"/>
        </w:rPr>
        <w:t>公交换乘场站</w:t>
      </w:r>
      <w:r w:rsidRPr="00B85FA7">
        <w:rPr>
          <w:rFonts w:hint="eastAsia"/>
        </w:rPr>
        <w:t>。</w:t>
      </w:r>
    </w:p>
    <w:p w:rsidR="002C72DC" w:rsidRPr="00B85FA7" w:rsidRDefault="008411D0" w:rsidP="0085732D">
      <w:pPr>
        <w:pStyle w:val="2"/>
        <w:keepNext w:val="0"/>
        <w:keepLines w:val="0"/>
        <w:ind w:left="-240" w:firstLine="482"/>
      </w:pPr>
      <w:bookmarkStart w:id="58" w:name="_Toc398105654"/>
      <w:bookmarkStart w:id="59" w:name="_Toc435545792"/>
      <w:r w:rsidRPr="00B85FA7">
        <w:rPr>
          <w:rFonts w:hint="eastAsia"/>
        </w:rPr>
        <w:t>交通衔接规划</w:t>
      </w:r>
      <w:bookmarkEnd w:id="58"/>
      <w:r w:rsidRPr="00B85FA7">
        <w:rPr>
          <w:rFonts w:hint="eastAsia"/>
        </w:rPr>
        <w:t>引导</w:t>
      </w:r>
      <w:bookmarkEnd w:id="59"/>
    </w:p>
    <w:p w:rsidR="002C72DC" w:rsidRPr="00B85FA7" w:rsidRDefault="008411D0" w:rsidP="0085732D">
      <w:pPr>
        <w:pStyle w:val="31"/>
      </w:pPr>
      <w:r w:rsidRPr="00B85FA7">
        <w:rPr>
          <w:rFonts w:hint="eastAsia"/>
        </w:rPr>
        <w:t>轨道影响区道路系统规划应符合以下原则：</w:t>
      </w:r>
    </w:p>
    <w:p w:rsidR="002C72DC" w:rsidRPr="00B85FA7" w:rsidRDefault="008411D0" w:rsidP="00E174E9">
      <w:pPr>
        <w:pStyle w:val="4"/>
        <w:numPr>
          <w:ilvl w:val="3"/>
          <w:numId w:val="49"/>
        </w:numPr>
      </w:pPr>
      <w:r w:rsidRPr="00B85FA7">
        <w:rPr>
          <w:rFonts w:hint="eastAsia"/>
        </w:rPr>
        <w:t>根据轨道交通线路位置，校核确定沿线区段道路功能，将通过性交通功能布置在轨道站点核心区范围以外。</w:t>
      </w:r>
    </w:p>
    <w:p w:rsidR="002C72DC" w:rsidRPr="00B85FA7" w:rsidRDefault="008411D0" w:rsidP="00C600EF">
      <w:pPr>
        <w:pStyle w:val="4"/>
      </w:pPr>
      <w:r w:rsidRPr="00B85FA7">
        <w:rPr>
          <w:rFonts w:hint="eastAsia"/>
        </w:rPr>
        <w:t>轨道影响区内垂直于轨道线的横向道路中，应优先安排一般通过性或集散性交通功能，通过这些道路和微循环服务道路系统，为各种车辆特别是公交车辆提供安全、顺畅的衔接通道。</w:t>
      </w:r>
    </w:p>
    <w:p w:rsidR="002C72DC" w:rsidRPr="003A2BBB" w:rsidRDefault="00DE5CAE" w:rsidP="00C600EF">
      <w:pPr>
        <w:pStyle w:val="4"/>
      </w:pPr>
      <w:r w:rsidRPr="003A2BBB">
        <w:rPr>
          <w:rFonts w:hint="eastAsia"/>
        </w:rPr>
        <w:t>优化轨道沿线地面公交系统，</w:t>
      </w:r>
      <w:r w:rsidR="00671B60" w:rsidRPr="003A2BBB">
        <w:rPr>
          <w:rFonts w:hint="eastAsia"/>
        </w:rPr>
        <w:t>应根据需要</w:t>
      </w:r>
      <w:r w:rsidRPr="003A2BBB">
        <w:rPr>
          <w:rFonts w:hint="eastAsia"/>
        </w:rPr>
        <w:t>适当保留</w:t>
      </w:r>
      <w:r w:rsidR="008411D0" w:rsidRPr="003A2BBB">
        <w:rPr>
          <w:rFonts w:hint="eastAsia"/>
        </w:rPr>
        <w:t>平行于轨道线的公交线路，以满足不同距离、不同速度的客流需求，实现公交走廊的复合功能。</w:t>
      </w:r>
    </w:p>
    <w:p w:rsidR="002C72DC" w:rsidRPr="003A2BBB" w:rsidRDefault="008411D0" w:rsidP="00C600EF">
      <w:pPr>
        <w:pStyle w:val="4"/>
      </w:pPr>
      <w:r w:rsidRPr="003A2BBB">
        <w:rPr>
          <w:rFonts w:hint="eastAsia"/>
        </w:rPr>
        <w:t>轨道影响区内应</w:t>
      </w:r>
      <w:r w:rsidR="00671B60" w:rsidRPr="003A2BBB">
        <w:rPr>
          <w:rFonts w:hint="eastAsia"/>
        </w:rPr>
        <w:t>提高</w:t>
      </w:r>
      <w:r w:rsidRPr="003A2BBB">
        <w:rPr>
          <w:rFonts w:hint="eastAsia"/>
        </w:rPr>
        <w:t>支路网系统</w:t>
      </w:r>
      <w:r w:rsidR="0085716A" w:rsidRPr="003A2BBB">
        <w:rPr>
          <w:rFonts w:hint="eastAsia"/>
        </w:rPr>
        <w:t>的连通性</w:t>
      </w:r>
      <w:r w:rsidRPr="003A2BBB">
        <w:rPr>
          <w:rFonts w:hint="eastAsia"/>
        </w:rPr>
        <w:t>，支路网密度原则上应达到</w:t>
      </w:r>
      <w:r w:rsidRPr="003A2BBB">
        <w:t>6~8 km/km</w:t>
      </w:r>
      <w:r w:rsidRPr="003A2BBB">
        <w:rPr>
          <w:vertAlign w:val="superscript"/>
        </w:rPr>
        <w:t>2</w:t>
      </w:r>
      <w:r w:rsidR="007C6673" w:rsidRPr="003A2BBB">
        <w:rPr>
          <w:rFonts w:hint="eastAsia"/>
        </w:rPr>
        <w:t>以上</w:t>
      </w:r>
      <w:r w:rsidRPr="003A2BBB">
        <w:rPr>
          <w:rFonts w:hint="eastAsia"/>
        </w:rPr>
        <w:t>。</w:t>
      </w:r>
    </w:p>
    <w:p w:rsidR="002C72DC" w:rsidRPr="00B85FA7" w:rsidRDefault="00291A3A">
      <w:pPr>
        <w:ind w:firstLineChars="0" w:firstLine="0"/>
        <w:jc w:val="center"/>
      </w:pPr>
      <w:r w:rsidRPr="00B85FA7">
        <w:rPr>
          <w:noProof/>
        </w:rPr>
        <w:lastRenderedPageBreak/>
        <w:drawing>
          <wp:inline distT="0" distB="0" distL="0" distR="0" wp14:anchorId="04A7AB8C" wp14:editId="2F6CCB04">
            <wp:extent cx="4978939" cy="2175124"/>
            <wp:effectExtent l="0" t="0" r="0" b="0"/>
            <wp:docPr id="1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6851"/>
                    <a:stretch/>
                  </pic:blipFill>
                  <pic:spPr bwMode="auto">
                    <a:xfrm>
                      <a:off x="0" y="0"/>
                      <a:ext cx="5000456" cy="2184524"/>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r w:rsidRPr="00B85FA7">
        <w:rPr>
          <w:rFonts w:hint="eastAsia"/>
        </w:rPr>
        <w:t>结合轨道建设完善轨道影响区支路网系统</w:t>
      </w:r>
    </w:p>
    <w:p w:rsidR="002C72DC" w:rsidRPr="00B85FA7" w:rsidRDefault="008411D0">
      <w:pPr>
        <w:pStyle w:val="31"/>
      </w:pPr>
      <w:r w:rsidRPr="00B85FA7">
        <w:rPr>
          <w:rFonts w:hint="eastAsia"/>
        </w:rPr>
        <w:t>轨道影响区内换乘设施规划应符合以下原则和规定：</w:t>
      </w:r>
    </w:p>
    <w:p w:rsidR="002C72DC" w:rsidRPr="00B85FA7" w:rsidRDefault="008411D0" w:rsidP="00E174E9">
      <w:pPr>
        <w:pStyle w:val="4"/>
        <w:numPr>
          <w:ilvl w:val="3"/>
          <w:numId w:val="50"/>
        </w:numPr>
      </w:pPr>
      <w:r w:rsidRPr="00B85FA7">
        <w:rPr>
          <w:rFonts w:hint="eastAsia"/>
        </w:rPr>
        <w:t>线路规划层次，主要确定布置在道路红线以外的</w:t>
      </w:r>
      <w:r w:rsidR="00AC215C" w:rsidRPr="00B85FA7">
        <w:rPr>
          <w:rFonts w:hint="eastAsia"/>
        </w:rPr>
        <w:t>地面</w:t>
      </w:r>
      <w:r w:rsidRPr="00B85FA7">
        <w:rPr>
          <w:rFonts w:hint="eastAsia"/>
        </w:rPr>
        <w:t>公交、小汽车、自行车等换乘设施的规模和布局。在后续规划中，换乘设施的位置根据实际建设需要进行调整的，原则上不宜调整出原有地块；确需跨地块调整的，不宜调整出站点核心区。</w:t>
      </w:r>
    </w:p>
    <w:p w:rsidR="002C72DC" w:rsidRPr="00B85FA7" w:rsidRDefault="008411D0" w:rsidP="00C600EF">
      <w:pPr>
        <w:pStyle w:val="4"/>
      </w:pPr>
      <w:r w:rsidRPr="00B85FA7">
        <w:rPr>
          <w:rFonts w:hint="eastAsia"/>
        </w:rPr>
        <w:t>场站规模和布局，应综合考虑一般配置准则和基本规模，站外换乘客流预测规模，交通需求管理政策，相关场站设施现状与专项规划情况，以及站点周边用地条件、道路条件加以确定。其中，枢纽站及重要站点换乘设施规模，应通过专题研究确定。</w:t>
      </w:r>
    </w:p>
    <w:p w:rsidR="002C72DC" w:rsidRPr="00B85FA7" w:rsidRDefault="008411D0" w:rsidP="00C600EF">
      <w:pPr>
        <w:pStyle w:val="4"/>
      </w:pPr>
      <w:r w:rsidRPr="00B85FA7">
        <w:rPr>
          <w:rFonts w:hint="eastAsia"/>
        </w:rPr>
        <w:t>各类站点路外换乘设施配置准则如表</w:t>
      </w:r>
      <w:r w:rsidRPr="00B85FA7">
        <w:t>6.1</w:t>
      </w:r>
      <w:r w:rsidRPr="00B85FA7">
        <w:rPr>
          <w:rFonts w:hint="eastAsia"/>
        </w:rPr>
        <w:t>所示。</w:t>
      </w:r>
    </w:p>
    <w:p w:rsidR="002C72DC" w:rsidRPr="00B85FA7" w:rsidRDefault="008411D0">
      <w:pPr>
        <w:pStyle w:val="10"/>
      </w:pPr>
      <w:r w:rsidRPr="00B85FA7">
        <w:rPr>
          <w:rFonts w:hint="eastAsia"/>
        </w:rPr>
        <w:t>路外换乘设施配置准则</w:t>
      </w:r>
    </w:p>
    <w:tbl>
      <w:tblPr>
        <w:tblW w:w="8479" w:type="dxa"/>
        <w:tblBorders>
          <w:top w:val="single" w:sz="12" w:space="0" w:color="auto"/>
          <w:left w:val="single" w:sz="12" w:space="0" w:color="auto"/>
          <w:bottom w:val="single" w:sz="12" w:space="0" w:color="auto"/>
          <w:right w:val="single" w:sz="12" w:space="0" w:color="auto"/>
          <w:insideH w:val="single" w:sz="2" w:space="0" w:color="auto"/>
          <w:insideV w:val="single" w:sz="4" w:space="0" w:color="auto"/>
        </w:tblBorders>
        <w:tblLayout w:type="fixed"/>
        <w:tblLook w:val="04A0" w:firstRow="1" w:lastRow="0" w:firstColumn="1" w:lastColumn="0" w:noHBand="0" w:noVBand="1"/>
      </w:tblPr>
      <w:tblGrid>
        <w:gridCol w:w="907"/>
        <w:gridCol w:w="1060"/>
        <w:gridCol w:w="688"/>
        <w:gridCol w:w="490"/>
        <w:gridCol w:w="490"/>
        <w:gridCol w:w="490"/>
        <w:gridCol w:w="490"/>
        <w:gridCol w:w="736"/>
        <w:gridCol w:w="1212"/>
        <w:gridCol w:w="1212"/>
        <w:gridCol w:w="704"/>
      </w:tblGrid>
      <w:tr w:rsidR="002C72DC" w:rsidRPr="00B85FA7" w:rsidTr="009568DB">
        <w:trPr>
          <w:trHeight w:val="300"/>
          <w:tblHeader/>
        </w:trPr>
        <w:tc>
          <w:tcPr>
            <w:tcW w:w="1967" w:type="dxa"/>
            <w:gridSpan w:val="2"/>
            <w:vMerge w:val="restart"/>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站点类型</w:t>
            </w:r>
          </w:p>
        </w:tc>
        <w:tc>
          <w:tcPr>
            <w:tcW w:w="688"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A</w:t>
            </w:r>
            <w:r w:rsidRPr="00B85FA7">
              <w:rPr>
                <w:rFonts w:ascii="宋体" w:hAnsi="宋体" w:cs="Times New Roman" w:hint="eastAsia"/>
                <w:color w:val="000000"/>
                <w:kern w:val="0"/>
                <w:sz w:val="21"/>
              </w:rPr>
              <w:t>类</w:t>
            </w:r>
          </w:p>
        </w:tc>
        <w:tc>
          <w:tcPr>
            <w:tcW w:w="980" w:type="dxa"/>
            <w:gridSpan w:val="2"/>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B</w:t>
            </w:r>
            <w:r w:rsidRPr="00B85FA7">
              <w:rPr>
                <w:rFonts w:ascii="宋体" w:hAnsi="宋体" w:cs="Times New Roman" w:hint="eastAsia"/>
                <w:color w:val="000000"/>
                <w:kern w:val="0"/>
                <w:sz w:val="21"/>
              </w:rPr>
              <w:t>类</w:t>
            </w:r>
          </w:p>
        </w:tc>
        <w:tc>
          <w:tcPr>
            <w:tcW w:w="980" w:type="dxa"/>
            <w:gridSpan w:val="2"/>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C</w:t>
            </w:r>
            <w:r w:rsidRPr="00B85FA7">
              <w:rPr>
                <w:rFonts w:ascii="宋体" w:hAnsi="宋体" w:cs="Times New Roman" w:hint="eastAsia"/>
                <w:color w:val="000000"/>
                <w:kern w:val="0"/>
                <w:sz w:val="21"/>
              </w:rPr>
              <w:t>类</w:t>
            </w:r>
          </w:p>
        </w:tc>
        <w:tc>
          <w:tcPr>
            <w:tcW w:w="736"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D</w:t>
            </w:r>
            <w:r w:rsidRPr="00B85FA7">
              <w:rPr>
                <w:rFonts w:ascii="宋体" w:hAnsi="宋体" w:cs="Times New Roman" w:hint="eastAsia"/>
                <w:color w:val="000000"/>
                <w:kern w:val="0"/>
                <w:sz w:val="21"/>
              </w:rPr>
              <w:t>类</w:t>
            </w:r>
          </w:p>
        </w:tc>
        <w:tc>
          <w:tcPr>
            <w:tcW w:w="2424" w:type="dxa"/>
            <w:gridSpan w:val="2"/>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E</w:t>
            </w:r>
            <w:r w:rsidRPr="00B85FA7">
              <w:rPr>
                <w:rFonts w:ascii="宋体" w:hAnsi="宋体" w:cs="Times New Roman" w:hint="eastAsia"/>
                <w:color w:val="000000"/>
                <w:kern w:val="0"/>
                <w:sz w:val="21"/>
              </w:rPr>
              <w:t>类</w:t>
            </w:r>
          </w:p>
        </w:tc>
        <w:tc>
          <w:tcPr>
            <w:tcW w:w="704"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F</w:t>
            </w:r>
            <w:r w:rsidRPr="00B85FA7">
              <w:rPr>
                <w:rFonts w:ascii="宋体" w:hAnsi="宋体" w:cs="Times New Roman" w:hint="eastAsia"/>
                <w:color w:val="000000"/>
                <w:kern w:val="0"/>
                <w:sz w:val="21"/>
              </w:rPr>
              <w:t>类</w:t>
            </w:r>
          </w:p>
        </w:tc>
      </w:tr>
      <w:tr w:rsidR="002C72DC" w:rsidRPr="00B85FA7" w:rsidTr="009568DB">
        <w:trPr>
          <w:trHeight w:val="540"/>
          <w:tblHeader/>
        </w:trPr>
        <w:tc>
          <w:tcPr>
            <w:tcW w:w="1967" w:type="dxa"/>
            <w:gridSpan w:val="2"/>
            <w:vMerge/>
            <w:vAlign w:val="center"/>
          </w:tcPr>
          <w:p w:rsidR="002C72DC" w:rsidRPr="00B85FA7" w:rsidRDefault="002C72DC">
            <w:pPr>
              <w:spacing w:before="0" w:after="0" w:line="240" w:lineRule="auto"/>
              <w:ind w:firstLineChars="0" w:firstLine="0"/>
              <w:rPr>
                <w:rFonts w:ascii="宋体" w:hAnsi="宋体" w:cs="宋体"/>
                <w:color w:val="000000"/>
                <w:kern w:val="0"/>
                <w:sz w:val="21"/>
              </w:rPr>
            </w:pPr>
          </w:p>
        </w:tc>
        <w:tc>
          <w:tcPr>
            <w:tcW w:w="688"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A/</w:t>
            </w:r>
            <w:r w:rsidRPr="00B85FA7">
              <w:rPr>
                <w:rFonts w:ascii="宋体" w:hAnsi="宋体" w:cs="宋体" w:hint="eastAsia"/>
                <w:color w:val="000000"/>
                <w:kern w:val="0"/>
                <w:sz w:val="21"/>
              </w:rPr>
              <w:t>Ⅱ</w:t>
            </w:r>
            <w:r w:rsidRPr="00B85FA7">
              <w:rPr>
                <w:rFonts w:cs="Times New Roman"/>
                <w:color w:val="000000"/>
                <w:kern w:val="0"/>
                <w:sz w:val="21"/>
              </w:rPr>
              <w:t>A</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B</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B</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C</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C</w:t>
            </w:r>
          </w:p>
        </w:tc>
        <w:tc>
          <w:tcPr>
            <w:tcW w:w="736"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 xml:space="preserve">D/ </w:t>
            </w:r>
            <w:r w:rsidRPr="00B85FA7">
              <w:rPr>
                <w:rFonts w:ascii="宋体" w:hAnsi="宋体" w:cs="宋体" w:hint="eastAsia"/>
                <w:color w:val="000000"/>
                <w:kern w:val="0"/>
                <w:sz w:val="21"/>
              </w:rPr>
              <w:t>Ⅱ</w:t>
            </w:r>
            <w:r w:rsidRPr="00B85FA7">
              <w:rPr>
                <w:rFonts w:cs="Times New Roman"/>
                <w:color w:val="000000"/>
                <w:kern w:val="0"/>
                <w:sz w:val="21"/>
              </w:rPr>
              <w:t>D</w:t>
            </w:r>
          </w:p>
        </w:tc>
        <w:tc>
          <w:tcPr>
            <w:tcW w:w="1212"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 xml:space="preserve">E/ </w:t>
            </w:r>
            <w:r w:rsidRPr="00B85FA7">
              <w:rPr>
                <w:rFonts w:ascii="宋体" w:hAnsi="宋体" w:cs="宋体" w:hint="eastAsia"/>
                <w:color w:val="000000"/>
                <w:kern w:val="0"/>
                <w:sz w:val="21"/>
              </w:rPr>
              <w:t>Ⅱ</w:t>
            </w:r>
            <w:r w:rsidRPr="00B85FA7">
              <w:rPr>
                <w:rFonts w:cs="Times New Roman"/>
                <w:color w:val="000000"/>
                <w:kern w:val="0"/>
                <w:sz w:val="21"/>
              </w:rPr>
              <w:t>E</w:t>
            </w:r>
            <w:r w:rsidRPr="00B85FA7">
              <w:rPr>
                <w:rFonts w:ascii="宋体" w:hAnsi="宋体" w:cs="宋体" w:hint="eastAsia"/>
                <w:color w:val="000000"/>
                <w:kern w:val="0"/>
                <w:sz w:val="21"/>
              </w:rPr>
              <w:t>（中心）</w:t>
            </w:r>
          </w:p>
        </w:tc>
        <w:tc>
          <w:tcPr>
            <w:tcW w:w="1212"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 xml:space="preserve">E/ </w:t>
            </w:r>
            <w:r w:rsidRPr="00B85FA7">
              <w:rPr>
                <w:rFonts w:ascii="宋体" w:hAnsi="宋体" w:cs="宋体" w:hint="eastAsia"/>
                <w:color w:val="000000"/>
                <w:kern w:val="0"/>
                <w:sz w:val="21"/>
              </w:rPr>
              <w:t>Ⅱ</w:t>
            </w:r>
            <w:r w:rsidRPr="00B85FA7">
              <w:rPr>
                <w:rFonts w:cs="Times New Roman"/>
                <w:color w:val="000000"/>
                <w:kern w:val="0"/>
                <w:sz w:val="21"/>
              </w:rPr>
              <w:t>E</w:t>
            </w:r>
            <w:r w:rsidRPr="00B85FA7">
              <w:rPr>
                <w:rFonts w:ascii="宋体" w:hAnsi="宋体" w:cs="宋体" w:hint="eastAsia"/>
                <w:color w:val="000000"/>
                <w:kern w:val="0"/>
                <w:sz w:val="21"/>
              </w:rPr>
              <w:t>（外围）</w:t>
            </w:r>
          </w:p>
        </w:tc>
        <w:tc>
          <w:tcPr>
            <w:tcW w:w="704"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 xml:space="preserve">F/ </w:t>
            </w:r>
            <w:r w:rsidRPr="00B85FA7">
              <w:rPr>
                <w:rFonts w:ascii="宋体" w:hAnsi="宋体" w:cs="宋体" w:hint="eastAsia"/>
                <w:color w:val="000000"/>
                <w:kern w:val="0"/>
                <w:sz w:val="21"/>
              </w:rPr>
              <w:t>Ⅱ</w:t>
            </w:r>
            <w:r w:rsidRPr="00B85FA7">
              <w:rPr>
                <w:rFonts w:cs="Times New Roman"/>
                <w:color w:val="000000"/>
                <w:kern w:val="0"/>
                <w:sz w:val="21"/>
              </w:rPr>
              <w:t>F</w:t>
            </w:r>
          </w:p>
        </w:tc>
      </w:tr>
      <w:tr w:rsidR="002C72DC" w:rsidRPr="00B85FA7" w:rsidTr="009568DB">
        <w:trPr>
          <w:trHeight w:val="525"/>
          <w:tblHeader/>
        </w:trPr>
        <w:tc>
          <w:tcPr>
            <w:tcW w:w="907" w:type="dxa"/>
            <w:vMerge w:val="restart"/>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换乘设施类型</w:t>
            </w:r>
          </w:p>
        </w:tc>
        <w:tc>
          <w:tcPr>
            <w:tcW w:w="106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公交换乘场站</w:t>
            </w:r>
          </w:p>
        </w:tc>
        <w:tc>
          <w:tcPr>
            <w:tcW w:w="688"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736"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1212"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1212"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704"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r>
      <w:tr w:rsidR="002C72DC" w:rsidRPr="00B85FA7" w:rsidTr="009568DB">
        <w:trPr>
          <w:trHeight w:val="525"/>
          <w:tblHeader/>
        </w:trPr>
        <w:tc>
          <w:tcPr>
            <w:tcW w:w="907" w:type="dxa"/>
            <w:vMerge/>
            <w:vAlign w:val="center"/>
          </w:tcPr>
          <w:p w:rsidR="002C72DC" w:rsidRPr="00B85FA7" w:rsidRDefault="002C72DC">
            <w:pPr>
              <w:spacing w:before="0" w:after="0" w:line="240" w:lineRule="auto"/>
              <w:ind w:firstLineChars="0" w:firstLine="0"/>
              <w:rPr>
                <w:rFonts w:ascii="宋体" w:hAnsi="宋体" w:cs="宋体"/>
                <w:color w:val="000000"/>
                <w:kern w:val="0"/>
                <w:sz w:val="21"/>
              </w:rPr>
            </w:pPr>
          </w:p>
        </w:tc>
        <w:tc>
          <w:tcPr>
            <w:tcW w:w="106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出租汽车停车场</w:t>
            </w:r>
          </w:p>
        </w:tc>
        <w:tc>
          <w:tcPr>
            <w:tcW w:w="688"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cs="Times New Roman"/>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736"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1212"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w:t>
            </w:r>
          </w:p>
        </w:tc>
        <w:tc>
          <w:tcPr>
            <w:tcW w:w="1212"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704"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cs="Times New Roman"/>
                <w:color w:val="000000"/>
                <w:kern w:val="0"/>
                <w:sz w:val="21"/>
              </w:rPr>
              <w:t>/</w:t>
            </w:r>
          </w:p>
        </w:tc>
      </w:tr>
      <w:tr w:rsidR="002C72DC" w:rsidRPr="00B85FA7" w:rsidTr="009568DB">
        <w:trPr>
          <w:trHeight w:val="525"/>
          <w:tblHeader/>
        </w:trPr>
        <w:tc>
          <w:tcPr>
            <w:tcW w:w="907" w:type="dxa"/>
            <w:vMerge/>
            <w:vAlign w:val="center"/>
          </w:tcPr>
          <w:p w:rsidR="002C72DC" w:rsidRPr="00B85FA7" w:rsidRDefault="002C72DC">
            <w:pPr>
              <w:spacing w:before="0" w:after="0" w:line="240" w:lineRule="auto"/>
              <w:ind w:firstLineChars="0" w:firstLine="0"/>
              <w:rPr>
                <w:rFonts w:ascii="宋体" w:hAnsi="宋体" w:cs="宋体"/>
                <w:color w:val="000000"/>
                <w:kern w:val="0"/>
                <w:sz w:val="21"/>
              </w:rPr>
            </w:pPr>
          </w:p>
        </w:tc>
        <w:tc>
          <w:tcPr>
            <w:tcW w:w="1060" w:type="dxa"/>
            <w:vAlign w:val="center"/>
          </w:tcPr>
          <w:p w:rsidR="002C72DC" w:rsidRPr="00B85FA7" w:rsidRDefault="00B938B2">
            <w:pPr>
              <w:spacing w:before="0" w:after="0" w:line="240" w:lineRule="auto"/>
              <w:ind w:firstLineChars="0" w:firstLine="0"/>
              <w:jc w:val="center"/>
              <w:rPr>
                <w:rFonts w:ascii="宋体" w:hAnsi="宋体" w:cs="宋体"/>
                <w:color w:val="000000"/>
                <w:kern w:val="0"/>
                <w:sz w:val="21"/>
              </w:rPr>
            </w:pPr>
            <w:r>
              <w:rPr>
                <w:rFonts w:ascii="宋体" w:hAnsi="宋体" w:cs="宋体" w:hint="eastAsia"/>
                <w:color w:val="000000"/>
                <w:kern w:val="0"/>
                <w:sz w:val="21"/>
              </w:rPr>
              <w:t>小汽车</w:t>
            </w:r>
            <w:r w:rsidR="008411D0" w:rsidRPr="00B85FA7">
              <w:rPr>
                <w:rFonts w:ascii="宋体" w:hAnsi="宋体" w:cs="宋体" w:hint="eastAsia"/>
                <w:color w:val="000000"/>
                <w:kern w:val="0"/>
                <w:sz w:val="21"/>
              </w:rPr>
              <w:t>停车场</w:t>
            </w:r>
          </w:p>
        </w:tc>
        <w:tc>
          <w:tcPr>
            <w:tcW w:w="688" w:type="dxa"/>
            <w:vAlign w:val="center"/>
          </w:tcPr>
          <w:p w:rsidR="002C72DC" w:rsidRPr="00B85FA7" w:rsidRDefault="00B938B2">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w:t>
            </w:r>
          </w:p>
        </w:tc>
        <w:tc>
          <w:tcPr>
            <w:tcW w:w="736"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1212"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1212"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704"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cs="Times New Roman"/>
                <w:color w:val="000000"/>
                <w:kern w:val="0"/>
                <w:sz w:val="21"/>
              </w:rPr>
              <w:t>/</w:t>
            </w:r>
          </w:p>
        </w:tc>
      </w:tr>
      <w:tr w:rsidR="002C72DC" w:rsidRPr="00B85FA7" w:rsidTr="009568DB">
        <w:trPr>
          <w:trHeight w:val="525"/>
          <w:tblHeader/>
        </w:trPr>
        <w:tc>
          <w:tcPr>
            <w:tcW w:w="907" w:type="dxa"/>
            <w:vMerge/>
            <w:vAlign w:val="center"/>
          </w:tcPr>
          <w:p w:rsidR="002C72DC" w:rsidRPr="00B85FA7" w:rsidRDefault="002C72DC">
            <w:pPr>
              <w:spacing w:before="0" w:after="0" w:line="240" w:lineRule="auto"/>
              <w:ind w:firstLineChars="0" w:firstLine="0"/>
              <w:rPr>
                <w:rFonts w:ascii="宋体" w:hAnsi="宋体" w:cs="宋体"/>
                <w:color w:val="000000"/>
                <w:kern w:val="0"/>
                <w:sz w:val="21"/>
              </w:rPr>
            </w:pPr>
          </w:p>
        </w:tc>
        <w:tc>
          <w:tcPr>
            <w:tcW w:w="106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自行车停车场</w:t>
            </w:r>
          </w:p>
        </w:tc>
        <w:tc>
          <w:tcPr>
            <w:tcW w:w="688"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490"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736"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1212"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1212"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c>
          <w:tcPr>
            <w:tcW w:w="704" w:type="dxa"/>
            <w:vAlign w:val="center"/>
          </w:tcPr>
          <w:p w:rsidR="002C72DC" w:rsidRPr="00B85FA7" w:rsidRDefault="002D3141">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w:t>
            </w:r>
          </w:p>
        </w:tc>
      </w:tr>
    </w:tbl>
    <w:p w:rsidR="002C72DC" w:rsidRPr="00B85FA7" w:rsidRDefault="008411D0" w:rsidP="009568DB">
      <w:pPr>
        <w:widowControl w:val="0"/>
        <w:spacing w:after="120" w:line="240" w:lineRule="auto"/>
        <w:ind w:firstLineChars="0" w:firstLine="0"/>
        <w:rPr>
          <w:rFonts w:cs="宋体"/>
          <w:sz w:val="18"/>
          <w:szCs w:val="18"/>
        </w:rPr>
      </w:pPr>
      <w:r w:rsidRPr="00B85FA7">
        <w:rPr>
          <w:rFonts w:cs="宋体" w:hint="eastAsia"/>
          <w:sz w:val="18"/>
          <w:szCs w:val="18"/>
        </w:rPr>
        <w:lastRenderedPageBreak/>
        <w:t>注：</w:t>
      </w:r>
      <w:r w:rsidRPr="00B85FA7">
        <w:rPr>
          <w:rFonts w:cs="宋体"/>
          <w:sz w:val="18"/>
          <w:szCs w:val="18"/>
        </w:rPr>
        <w:t>1</w:t>
      </w:r>
      <w:r w:rsidRPr="00B85FA7">
        <w:rPr>
          <w:rFonts w:cs="宋体" w:hint="eastAsia"/>
          <w:sz w:val="18"/>
          <w:szCs w:val="18"/>
        </w:rPr>
        <w:t>、★表示一般应配置，☆表示可选择配置，</w:t>
      </w:r>
      <w:r w:rsidRPr="00B85FA7">
        <w:rPr>
          <w:rFonts w:cs="宋体"/>
          <w:sz w:val="18"/>
          <w:szCs w:val="18"/>
        </w:rPr>
        <w:t>/</w:t>
      </w:r>
      <w:r w:rsidRPr="00B85FA7">
        <w:rPr>
          <w:rFonts w:cs="宋体" w:hint="eastAsia"/>
          <w:sz w:val="18"/>
          <w:szCs w:val="18"/>
        </w:rPr>
        <w:t>表示一般无需配置，╳表示一般不应配置，各站点应根据实际需要逐个确认，必要时作个性化调整。</w:t>
      </w:r>
    </w:p>
    <w:p w:rsidR="002C72DC" w:rsidRPr="00B85FA7" w:rsidRDefault="008411D0" w:rsidP="009568DB">
      <w:pPr>
        <w:widowControl w:val="0"/>
        <w:spacing w:line="240" w:lineRule="auto"/>
        <w:ind w:firstLineChars="200" w:firstLine="360"/>
        <w:rPr>
          <w:rFonts w:cs="宋体"/>
          <w:sz w:val="18"/>
          <w:szCs w:val="18"/>
        </w:rPr>
      </w:pPr>
      <w:r w:rsidRPr="00B85FA7">
        <w:rPr>
          <w:rFonts w:cs="宋体"/>
          <w:sz w:val="18"/>
          <w:szCs w:val="18"/>
        </w:rPr>
        <w:t>2</w:t>
      </w:r>
      <w:r w:rsidRPr="00B85FA7">
        <w:rPr>
          <w:rFonts w:cs="宋体" w:hint="eastAsia"/>
          <w:sz w:val="18"/>
          <w:szCs w:val="18"/>
        </w:rPr>
        <w:t>、</w:t>
      </w:r>
      <w:r w:rsidR="00B938B2" w:rsidRPr="00B938B2">
        <w:rPr>
          <w:rFonts w:cs="宋体" w:hint="eastAsia"/>
          <w:sz w:val="18"/>
          <w:szCs w:val="18"/>
        </w:rPr>
        <w:t>本表格中小汽车停车场，以</w:t>
      </w:r>
      <w:r w:rsidR="00B938B2" w:rsidRPr="00B938B2">
        <w:rPr>
          <w:rFonts w:cs="宋体" w:hint="eastAsia"/>
          <w:sz w:val="18"/>
          <w:szCs w:val="18"/>
        </w:rPr>
        <w:t>P+R</w:t>
      </w:r>
      <w:r w:rsidR="00B938B2" w:rsidRPr="00B938B2">
        <w:rPr>
          <w:rFonts w:cs="宋体" w:hint="eastAsia"/>
          <w:sz w:val="18"/>
          <w:szCs w:val="18"/>
        </w:rPr>
        <w:t>功能为主的，原则上只宜在外围端头站设置。</w:t>
      </w:r>
    </w:p>
    <w:p w:rsidR="002C72DC" w:rsidRPr="00B85FA7" w:rsidRDefault="008411D0" w:rsidP="00C600EF">
      <w:pPr>
        <w:pStyle w:val="4"/>
      </w:pPr>
      <w:r w:rsidRPr="00B85FA7">
        <w:rPr>
          <w:rFonts w:hint="eastAsia"/>
        </w:rPr>
        <w:t>各类站点换乘设施规模控制关键指标及场地规模一般参考值见表</w:t>
      </w:r>
      <w:r w:rsidRPr="00B85FA7">
        <w:t>6.2</w:t>
      </w:r>
      <w:r w:rsidRPr="00B85FA7">
        <w:rPr>
          <w:rFonts w:hint="eastAsia"/>
        </w:rPr>
        <w:t>。</w:t>
      </w:r>
    </w:p>
    <w:p w:rsidR="002C72DC" w:rsidRPr="00B85FA7" w:rsidRDefault="008411D0" w:rsidP="00932D1F">
      <w:pPr>
        <w:pStyle w:val="10"/>
      </w:pPr>
      <w:r w:rsidRPr="00B85FA7">
        <w:rPr>
          <w:rFonts w:hint="eastAsia"/>
        </w:rPr>
        <w:t>站点路外换乘设施控制指标及场地规模经验值</w:t>
      </w:r>
    </w:p>
    <w:tbl>
      <w:tblPr>
        <w:tblW w:w="8479"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584"/>
        <w:gridCol w:w="1225"/>
        <w:gridCol w:w="3119"/>
        <w:gridCol w:w="3551"/>
      </w:tblGrid>
      <w:tr w:rsidR="002C72DC" w:rsidRPr="00B85FA7" w:rsidTr="009568DB">
        <w:trPr>
          <w:cantSplit/>
          <w:trHeight w:val="20"/>
          <w:tblHeader/>
        </w:trPr>
        <w:tc>
          <w:tcPr>
            <w:tcW w:w="584"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站点类型</w:t>
            </w: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不同城市等级站点类型</w:t>
            </w:r>
          </w:p>
        </w:tc>
        <w:tc>
          <w:tcPr>
            <w:tcW w:w="3119"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换乘设施布置关键控制指标一般参考值</w:t>
            </w:r>
          </w:p>
        </w:tc>
        <w:tc>
          <w:tcPr>
            <w:tcW w:w="3551"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换乘设施场地规模一般参考值</w:t>
            </w:r>
          </w:p>
        </w:tc>
      </w:tr>
      <w:tr w:rsidR="002C72DC" w:rsidRPr="00B85FA7" w:rsidTr="009568DB">
        <w:trPr>
          <w:cantSplit/>
          <w:trHeight w:val="3447"/>
        </w:trPr>
        <w:tc>
          <w:tcPr>
            <w:tcW w:w="584" w:type="dxa"/>
            <w:vMerge w:val="restart"/>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A</w:t>
            </w:r>
            <w:r w:rsidRPr="00B85FA7">
              <w:rPr>
                <w:rFonts w:ascii="宋体" w:hAnsi="宋体" w:cs="Times New Roman" w:hint="eastAsia"/>
                <w:color w:val="000000"/>
                <w:kern w:val="0"/>
                <w:sz w:val="21"/>
              </w:rPr>
              <w:t>类</w:t>
            </w: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A</w:t>
            </w:r>
          </w:p>
        </w:tc>
        <w:tc>
          <w:tcPr>
            <w:tcW w:w="3119"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一般不少于</w:t>
            </w:r>
            <w:r w:rsidRPr="00B85FA7">
              <w:rPr>
                <w:rFonts w:cs="Times New Roman"/>
                <w:color w:val="000000"/>
                <w:kern w:val="0"/>
                <w:sz w:val="21"/>
              </w:rPr>
              <w:t>15</w:t>
            </w:r>
            <w:r w:rsidRPr="00B85FA7">
              <w:rPr>
                <w:rFonts w:ascii="宋体" w:hAnsi="宋体" w:cs="宋体" w:hint="eastAsia"/>
                <w:color w:val="000000"/>
                <w:kern w:val="0"/>
                <w:sz w:val="21"/>
              </w:rPr>
              <w:t>个发车通道。</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出租汽车上下客区原则上分离，下客位需根据实际情况</w:t>
            </w:r>
            <w:r w:rsidRPr="00B85FA7">
              <w:rPr>
                <w:rFonts w:ascii="宋体" w:hAnsi="宋体" w:cs="宋体"/>
                <w:color w:val="000000"/>
                <w:kern w:val="0"/>
                <w:sz w:val="21"/>
              </w:rPr>
              <w:t>确</w:t>
            </w:r>
            <w:r w:rsidRPr="00B85FA7">
              <w:rPr>
                <w:rFonts w:ascii="宋体" w:hAnsi="宋体" w:cs="宋体" w:hint="eastAsia"/>
                <w:color w:val="000000"/>
                <w:kern w:val="0"/>
                <w:sz w:val="21"/>
              </w:rPr>
              <w:t>定，上客位一般不少于</w:t>
            </w:r>
            <w:r w:rsidRPr="00B85FA7">
              <w:rPr>
                <w:rFonts w:cs="Times New Roman"/>
                <w:color w:val="000000"/>
                <w:kern w:val="0"/>
                <w:sz w:val="21"/>
              </w:rPr>
              <w:t>10</w:t>
            </w:r>
            <w:r w:rsidRPr="00B85FA7">
              <w:rPr>
                <w:rFonts w:ascii="宋体" w:hAnsi="宋体" w:cs="宋体" w:hint="eastAsia"/>
                <w:color w:val="000000"/>
                <w:kern w:val="0"/>
                <w:sz w:val="21"/>
              </w:rPr>
              <w:t>个，排队</w:t>
            </w:r>
            <w:proofErr w:type="gramStart"/>
            <w:r w:rsidRPr="00B85FA7">
              <w:rPr>
                <w:rFonts w:ascii="宋体" w:hAnsi="宋体" w:cs="宋体" w:hint="eastAsia"/>
                <w:color w:val="000000"/>
                <w:kern w:val="0"/>
                <w:sz w:val="21"/>
              </w:rPr>
              <w:t>蓄</w:t>
            </w:r>
            <w:proofErr w:type="gramEnd"/>
            <w:r w:rsidRPr="00B85FA7">
              <w:rPr>
                <w:rFonts w:ascii="宋体" w:hAnsi="宋体" w:cs="宋体" w:hint="eastAsia"/>
                <w:color w:val="000000"/>
                <w:kern w:val="0"/>
                <w:sz w:val="21"/>
              </w:rPr>
              <w:t>车位一般不超过</w:t>
            </w:r>
            <w:r w:rsidRPr="00B85FA7">
              <w:rPr>
                <w:rFonts w:cs="Times New Roman"/>
                <w:color w:val="000000"/>
                <w:kern w:val="0"/>
                <w:sz w:val="21"/>
              </w:rPr>
              <w:t>200</w:t>
            </w:r>
            <w:r w:rsidRPr="00B85FA7">
              <w:rPr>
                <w:rFonts w:ascii="宋体" w:hAnsi="宋体" w:cs="宋体" w:hint="eastAsia"/>
                <w:color w:val="000000"/>
                <w:kern w:val="0"/>
                <w:sz w:val="21"/>
              </w:rPr>
              <w:t>个。</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小汽车配建停车场，车位一般不多于</w:t>
            </w:r>
            <w:r w:rsidRPr="00B85FA7">
              <w:rPr>
                <w:rFonts w:cs="Times New Roman"/>
                <w:color w:val="000000"/>
                <w:kern w:val="0"/>
                <w:sz w:val="21"/>
              </w:rPr>
              <w:t>500</w:t>
            </w:r>
            <w:r w:rsidRPr="00B85FA7">
              <w:rPr>
                <w:rFonts w:ascii="宋体" w:hAnsi="宋体" w:cs="宋体" w:hint="eastAsia"/>
                <w:color w:val="000000"/>
                <w:kern w:val="0"/>
                <w:sz w:val="21"/>
              </w:rPr>
              <w:t>个。</w:t>
            </w:r>
          </w:p>
        </w:tc>
        <w:tc>
          <w:tcPr>
            <w:tcW w:w="3551"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规模一般在</w:t>
            </w:r>
            <w:r w:rsidRPr="00B85FA7">
              <w:rPr>
                <w:rFonts w:cs="Times New Roman"/>
                <w:color w:val="000000"/>
                <w:kern w:val="0"/>
                <w:sz w:val="21"/>
              </w:rPr>
              <w:t>1.5~2</w:t>
            </w:r>
            <w:r w:rsidRPr="00B85FA7">
              <w:rPr>
                <w:rFonts w:cs="Times New Roman" w:hint="eastAsia"/>
                <w:color w:val="000000"/>
                <w:kern w:val="0"/>
                <w:sz w:val="21"/>
              </w:rPr>
              <w:t>万</w:t>
            </w:r>
            <w:r w:rsidRPr="00B85FA7">
              <w:rPr>
                <w:rFonts w:cs="Times New Roman"/>
                <w:color w:val="000000"/>
                <w:kern w:val="0"/>
                <w:sz w:val="21"/>
              </w:rPr>
              <w:t>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出租汽车上客及排队</w:t>
            </w:r>
            <w:proofErr w:type="gramStart"/>
            <w:r w:rsidRPr="00B85FA7">
              <w:rPr>
                <w:rFonts w:ascii="宋体" w:hAnsi="宋体" w:cs="宋体" w:hint="eastAsia"/>
                <w:color w:val="000000"/>
                <w:kern w:val="0"/>
                <w:sz w:val="21"/>
              </w:rPr>
              <w:t>蓄</w:t>
            </w:r>
            <w:proofErr w:type="gramEnd"/>
            <w:r w:rsidRPr="00B85FA7">
              <w:rPr>
                <w:rFonts w:ascii="宋体" w:hAnsi="宋体" w:cs="宋体" w:hint="eastAsia"/>
                <w:color w:val="000000"/>
                <w:kern w:val="0"/>
                <w:sz w:val="21"/>
              </w:rPr>
              <w:t>车场地规模一般不超过</w:t>
            </w:r>
            <w:r w:rsidRPr="00B85FA7">
              <w:rPr>
                <w:rFonts w:cs="Times New Roman"/>
                <w:color w:val="000000"/>
                <w:kern w:val="0"/>
                <w:sz w:val="21"/>
              </w:rPr>
              <w:t>6000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cs="Times New Roman"/>
                <w:color w:val="000000"/>
                <w:kern w:val="0"/>
                <w:sz w:val="21"/>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小汽车配建停车场规模一般不多</w:t>
            </w:r>
            <w:r w:rsidR="009568DB" w:rsidRPr="00B85FA7">
              <w:rPr>
                <w:rFonts w:ascii="宋体" w:hAnsi="宋体" w:cs="宋体" w:hint="eastAsia"/>
                <w:color w:val="000000"/>
                <w:kern w:val="0"/>
                <w:sz w:val="21"/>
              </w:rPr>
              <w:t>于</w:t>
            </w:r>
            <w:r w:rsidRPr="00B85FA7">
              <w:rPr>
                <w:rFonts w:cs="Times New Roman" w:hint="eastAsia"/>
                <w:color w:val="000000"/>
                <w:kern w:val="0"/>
                <w:sz w:val="21"/>
              </w:rPr>
              <w:t>2.5</w:t>
            </w:r>
            <w:r w:rsidRPr="00B85FA7">
              <w:rPr>
                <w:rFonts w:cs="Times New Roman" w:hint="eastAsia"/>
                <w:color w:val="000000"/>
                <w:kern w:val="0"/>
                <w:sz w:val="21"/>
              </w:rPr>
              <w:t>万</w:t>
            </w:r>
            <w:r w:rsidRPr="00B85FA7">
              <w:rPr>
                <w:rFonts w:cs="Times New Roman"/>
                <w:color w:val="000000"/>
                <w:kern w:val="0"/>
                <w:sz w:val="21"/>
              </w:rPr>
              <w:t>m</w:t>
            </w:r>
            <w:r w:rsidRPr="00B85FA7">
              <w:rPr>
                <w:rFonts w:cs="Times New Roman"/>
                <w:color w:val="000000"/>
                <w:kern w:val="0"/>
                <w:sz w:val="21"/>
                <w:vertAlign w:val="superscript"/>
              </w:rPr>
              <w:t>2</w:t>
            </w:r>
            <w:r w:rsidRPr="00B85FA7">
              <w:rPr>
                <w:rFonts w:cs="Times New Roman" w:hint="eastAsia"/>
                <w:color w:val="000000"/>
                <w:kern w:val="0"/>
                <w:sz w:val="21"/>
              </w:rPr>
              <w:t>，</w:t>
            </w:r>
            <w:r w:rsidRPr="00B85FA7">
              <w:rPr>
                <w:rFonts w:ascii="宋体" w:hAnsi="宋体" w:cs="宋体" w:hint="eastAsia"/>
                <w:color w:val="000000"/>
                <w:kern w:val="0"/>
                <w:sz w:val="21"/>
              </w:rPr>
              <w:t>并结合交通需求管理政策确定</w:t>
            </w:r>
            <w:r w:rsidRPr="00B85FA7">
              <w:rPr>
                <w:rFonts w:cs="Times New Roman" w:hint="eastAsia"/>
                <w:color w:val="000000"/>
                <w:kern w:val="0"/>
                <w:sz w:val="21"/>
              </w:rPr>
              <w:t>。</w:t>
            </w:r>
          </w:p>
        </w:tc>
      </w:tr>
      <w:tr w:rsidR="002C72DC" w:rsidRPr="00B85FA7" w:rsidTr="009568DB">
        <w:trPr>
          <w:cantSplit/>
          <w:trHeight w:val="3100"/>
        </w:trPr>
        <w:tc>
          <w:tcPr>
            <w:tcW w:w="584" w:type="dxa"/>
            <w:vMerge/>
            <w:vAlign w:val="center"/>
          </w:tcPr>
          <w:p w:rsidR="002C72DC" w:rsidRPr="00B85FA7" w:rsidRDefault="002C72DC">
            <w:pPr>
              <w:spacing w:before="0" w:after="0" w:line="240" w:lineRule="auto"/>
              <w:ind w:firstLineChars="0" w:firstLine="0"/>
              <w:rPr>
                <w:rFonts w:cs="Times New Roman"/>
                <w:color w:val="000000"/>
                <w:kern w:val="0"/>
                <w:sz w:val="21"/>
              </w:rPr>
            </w:pP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A</w:t>
            </w:r>
          </w:p>
        </w:tc>
        <w:tc>
          <w:tcPr>
            <w:tcW w:w="3119"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一般不少于</w:t>
            </w:r>
            <w:r w:rsidRPr="00B85FA7">
              <w:rPr>
                <w:rFonts w:cs="Times New Roman"/>
                <w:color w:val="000000"/>
                <w:kern w:val="0"/>
                <w:sz w:val="21"/>
              </w:rPr>
              <w:t>10</w:t>
            </w:r>
            <w:r w:rsidRPr="00B85FA7">
              <w:rPr>
                <w:rFonts w:ascii="宋体" w:hAnsi="宋体" w:cs="宋体" w:hint="eastAsia"/>
                <w:color w:val="000000"/>
                <w:kern w:val="0"/>
                <w:sz w:val="21"/>
              </w:rPr>
              <w:t>个发车通道。</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出租汽车上下客区原则上分离，下客位需根据实际</w:t>
            </w:r>
            <w:r w:rsidR="009568DB" w:rsidRPr="00B85FA7">
              <w:rPr>
                <w:rFonts w:ascii="宋体" w:hAnsi="宋体" w:cs="宋体" w:hint="eastAsia"/>
                <w:color w:val="000000"/>
                <w:kern w:val="0"/>
                <w:sz w:val="21"/>
              </w:rPr>
              <w:t>情况</w:t>
            </w:r>
            <w:r w:rsidR="009568DB" w:rsidRPr="00B85FA7">
              <w:rPr>
                <w:rFonts w:ascii="宋体" w:hAnsi="宋体" w:cs="宋体"/>
                <w:color w:val="000000"/>
                <w:kern w:val="0"/>
                <w:sz w:val="21"/>
              </w:rPr>
              <w:t>确</w:t>
            </w:r>
            <w:r w:rsidRPr="00B85FA7">
              <w:rPr>
                <w:rFonts w:ascii="宋体" w:hAnsi="宋体" w:cs="宋体" w:hint="eastAsia"/>
                <w:color w:val="000000"/>
                <w:kern w:val="0"/>
                <w:sz w:val="21"/>
              </w:rPr>
              <w:t>定，上客位一般不少于</w:t>
            </w:r>
            <w:r w:rsidRPr="00B85FA7">
              <w:rPr>
                <w:rFonts w:cs="Times New Roman"/>
                <w:color w:val="000000"/>
                <w:kern w:val="0"/>
                <w:sz w:val="21"/>
              </w:rPr>
              <w:t>6</w:t>
            </w:r>
            <w:r w:rsidRPr="00B85FA7">
              <w:rPr>
                <w:rFonts w:ascii="宋体" w:hAnsi="宋体" w:cs="宋体" w:hint="eastAsia"/>
                <w:color w:val="000000"/>
                <w:kern w:val="0"/>
                <w:sz w:val="21"/>
              </w:rPr>
              <w:t>个，排队</w:t>
            </w:r>
            <w:proofErr w:type="gramStart"/>
            <w:r w:rsidRPr="00B85FA7">
              <w:rPr>
                <w:rFonts w:ascii="宋体" w:hAnsi="宋体" w:cs="宋体" w:hint="eastAsia"/>
                <w:color w:val="000000"/>
                <w:kern w:val="0"/>
                <w:sz w:val="21"/>
              </w:rPr>
              <w:t>蓄</w:t>
            </w:r>
            <w:proofErr w:type="gramEnd"/>
            <w:r w:rsidRPr="00B85FA7">
              <w:rPr>
                <w:rFonts w:ascii="宋体" w:hAnsi="宋体" w:cs="宋体" w:hint="eastAsia"/>
                <w:color w:val="000000"/>
                <w:kern w:val="0"/>
                <w:sz w:val="21"/>
              </w:rPr>
              <w:t>车位一般宜为</w:t>
            </w:r>
            <w:r w:rsidRPr="00B85FA7">
              <w:rPr>
                <w:rFonts w:cs="Times New Roman"/>
                <w:color w:val="000000"/>
                <w:kern w:val="0"/>
                <w:sz w:val="21"/>
              </w:rPr>
              <w:t>100</w:t>
            </w:r>
            <w:r w:rsidRPr="00B85FA7">
              <w:rPr>
                <w:rFonts w:ascii="宋体" w:hAnsi="宋体" w:cs="宋体" w:hint="eastAsia"/>
                <w:color w:val="000000"/>
                <w:kern w:val="0"/>
                <w:sz w:val="21"/>
              </w:rPr>
              <w:t>个。</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小汽车配建停车场，车位一般不多于</w:t>
            </w:r>
            <w:r w:rsidRPr="00B85FA7">
              <w:rPr>
                <w:rFonts w:cs="Times New Roman"/>
                <w:color w:val="000000"/>
                <w:kern w:val="0"/>
                <w:sz w:val="21"/>
              </w:rPr>
              <w:t>350</w:t>
            </w:r>
            <w:r w:rsidRPr="00B85FA7">
              <w:rPr>
                <w:rFonts w:ascii="宋体" w:hAnsi="宋体" w:cs="宋体" w:hint="eastAsia"/>
                <w:color w:val="000000"/>
                <w:kern w:val="0"/>
                <w:sz w:val="21"/>
              </w:rPr>
              <w:t>个。</w:t>
            </w:r>
          </w:p>
        </w:tc>
        <w:tc>
          <w:tcPr>
            <w:tcW w:w="3551" w:type="dxa"/>
            <w:vAlign w:val="center"/>
          </w:tcPr>
          <w:p w:rsidR="002C72DC" w:rsidRPr="00B85FA7" w:rsidRDefault="008411D0">
            <w:pPr>
              <w:spacing w:before="0" w:after="0" w:line="240" w:lineRule="auto"/>
              <w:ind w:firstLineChars="0" w:firstLine="0"/>
              <w:jc w:val="both"/>
              <w:rPr>
                <w:rFonts w:ascii="宋体" w:hAnsi="宋体" w:cs="宋体"/>
                <w:color w:val="000000"/>
                <w:kern w:val="0"/>
                <w:sz w:val="21"/>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规模一般在</w:t>
            </w:r>
            <w:r w:rsidRPr="00B85FA7">
              <w:rPr>
                <w:rFonts w:cs="Times New Roman"/>
                <w:color w:val="000000"/>
                <w:kern w:val="0"/>
                <w:sz w:val="21"/>
              </w:rPr>
              <w:t>1~1.5</w:t>
            </w:r>
            <w:r w:rsidRPr="00B85FA7">
              <w:rPr>
                <w:rFonts w:cs="Times New Roman" w:hint="eastAsia"/>
                <w:color w:val="000000"/>
                <w:kern w:val="0"/>
                <w:sz w:val="21"/>
              </w:rPr>
              <w:t>万</w:t>
            </w:r>
            <w:r w:rsidRPr="00B85FA7">
              <w:rPr>
                <w:rFonts w:cs="Times New Roman"/>
                <w:color w:val="000000"/>
                <w:kern w:val="0"/>
                <w:sz w:val="21"/>
              </w:rPr>
              <w:t>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color w:val="000000"/>
                <w:kern w:val="0"/>
                <w:sz w:val="21"/>
              </w:rPr>
              <w:t>出租汽车上客及排队</w:t>
            </w:r>
            <w:proofErr w:type="gramStart"/>
            <w:r w:rsidRPr="00B85FA7">
              <w:rPr>
                <w:rFonts w:ascii="宋体" w:hAnsi="宋体" w:cs="宋体"/>
                <w:color w:val="000000"/>
                <w:kern w:val="0"/>
                <w:sz w:val="21"/>
              </w:rPr>
              <w:t>蓄</w:t>
            </w:r>
            <w:proofErr w:type="gramEnd"/>
            <w:r w:rsidRPr="00B85FA7">
              <w:rPr>
                <w:rFonts w:ascii="宋体" w:hAnsi="宋体" w:cs="宋体"/>
                <w:color w:val="000000"/>
                <w:kern w:val="0"/>
                <w:sz w:val="21"/>
              </w:rPr>
              <w:t xml:space="preserve">车场地规模一般宜为4000 </w:t>
            </w:r>
            <w:r w:rsidR="00CD52A4" w:rsidRPr="00B85FA7">
              <w:rPr>
                <w:rFonts w:cs="Times New Roman"/>
                <w:color w:val="000000"/>
                <w:kern w:val="0"/>
                <w:sz w:val="21"/>
              </w:rPr>
              <w:t>m</w:t>
            </w:r>
            <w:r w:rsidR="00CD52A4"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小汽车配建停车场规模一般不多于</w:t>
            </w:r>
            <w:r w:rsidRPr="00B85FA7">
              <w:rPr>
                <w:rFonts w:cs="Times New Roman"/>
                <w:color w:val="000000"/>
                <w:kern w:val="0"/>
                <w:sz w:val="21"/>
              </w:rPr>
              <w:t>1.5</w:t>
            </w:r>
            <w:r w:rsidRPr="00B85FA7">
              <w:rPr>
                <w:rFonts w:cs="Times New Roman" w:hint="eastAsia"/>
                <w:color w:val="000000"/>
                <w:kern w:val="0"/>
                <w:sz w:val="21"/>
              </w:rPr>
              <w:t>万</w:t>
            </w:r>
            <w:r w:rsidRPr="00B85FA7">
              <w:rPr>
                <w:rFonts w:cs="Times New Roman"/>
                <w:color w:val="000000"/>
                <w:kern w:val="0"/>
                <w:sz w:val="21"/>
              </w:rPr>
              <w:t>m</w:t>
            </w:r>
            <w:r w:rsidRPr="00B85FA7">
              <w:rPr>
                <w:rFonts w:cs="Times New Roman"/>
                <w:color w:val="000000"/>
                <w:kern w:val="0"/>
                <w:sz w:val="21"/>
                <w:vertAlign w:val="superscript"/>
              </w:rPr>
              <w:t>2</w:t>
            </w:r>
            <w:r w:rsidRPr="00B85FA7">
              <w:rPr>
                <w:rFonts w:ascii="宋体" w:hAnsi="宋体" w:cs="宋体" w:hint="eastAsia"/>
                <w:color w:val="000000"/>
                <w:kern w:val="0"/>
                <w:sz w:val="21"/>
              </w:rPr>
              <w:t>，并结合交通需求管理政策确定。</w:t>
            </w:r>
          </w:p>
        </w:tc>
      </w:tr>
      <w:tr w:rsidR="002C72DC" w:rsidRPr="00B85FA7" w:rsidTr="009568DB">
        <w:trPr>
          <w:cantSplit/>
          <w:trHeight w:val="20"/>
        </w:trPr>
        <w:tc>
          <w:tcPr>
            <w:tcW w:w="584" w:type="dxa"/>
            <w:vMerge w:val="restart"/>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B</w:t>
            </w:r>
            <w:r w:rsidRPr="00B85FA7">
              <w:rPr>
                <w:rFonts w:ascii="宋体" w:hAnsi="宋体" w:cs="Times New Roman" w:hint="eastAsia"/>
                <w:color w:val="000000"/>
                <w:kern w:val="0"/>
                <w:sz w:val="21"/>
              </w:rPr>
              <w:t>类</w:t>
            </w: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B</w:t>
            </w:r>
          </w:p>
        </w:tc>
        <w:tc>
          <w:tcPr>
            <w:tcW w:w="3119"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通常配置</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，一般不少于</w:t>
            </w:r>
            <w:r w:rsidRPr="00B85FA7">
              <w:rPr>
                <w:rFonts w:cs="Times New Roman"/>
                <w:color w:val="000000"/>
                <w:kern w:val="0"/>
                <w:sz w:val="21"/>
              </w:rPr>
              <w:t>6</w:t>
            </w:r>
            <w:r w:rsidRPr="00B85FA7">
              <w:rPr>
                <w:rFonts w:ascii="宋体" w:hAnsi="宋体" w:cs="宋体" w:hint="eastAsia"/>
                <w:color w:val="000000"/>
                <w:kern w:val="0"/>
                <w:sz w:val="21"/>
              </w:rPr>
              <w:t>个发车通道。</w:t>
            </w:r>
          </w:p>
        </w:tc>
        <w:tc>
          <w:tcPr>
            <w:tcW w:w="3551" w:type="dxa"/>
            <w:vAlign w:val="center"/>
          </w:tcPr>
          <w:p w:rsidR="002C72DC" w:rsidRPr="00B85FA7" w:rsidRDefault="008411D0">
            <w:pPr>
              <w:spacing w:before="0" w:after="0" w:line="240" w:lineRule="auto"/>
              <w:ind w:firstLineChars="0" w:firstLine="0"/>
              <w:jc w:val="both"/>
              <w:rPr>
                <w:rFonts w:ascii="宋体" w:hAnsi="宋体" w:cs="宋体"/>
                <w:color w:val="000000"/>
                <w:kern w:val="0"/>
                <w:sz w:val="21"/>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规模一般不少于</w:t>
            </w:r>
            <w:r w:rsidRPr="00B85FA7">
              <w:rPr>
                <w:rFonts w:cs="Times New Roman"/>
                <w:color w:val="000000"/>
                <w:kern w:val="0"/>
                <w:sz w:val="21"/>
              </w:rPr>
              <w:t>6000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ascii="宋体" w:hAnsi="宋体" w:cs="宋体" w:hint="eastAsia"/>
                <w:color w:val="000000"/>
                <w:kern w:val="0"/>
                <w:sz w:val="21"/>
              </w:rPr>
              <w:t>自行车停车场如需要，宜分散布置，总规模一般不少于</w:t>
            </w:r>
            <w:r w:rsidRPr="00B85FA7">
              <w:rPr>
                <w:rFonts w:ascii="宋体" w:hAnsi="宋体" w:cs="宋体"/>
                <w:color w:val="000000"/>
                <w:kern w:val="0"/>
                <w:sz w:val="21"/>
              </w:rPr>
              <w:t>500</w:t>
            </w:r>
            <w:r w:rsidRPr="00B85FA7">
              <w:rPr>
                <w:rFonts w:cs="Times New Roman"/>
                <w:color w:val="000000"/>
                <w:kern w:val="0"/>
                <w:sz w:val="21"/>
              </w:rPr>
              <w:t xml:space="preserve"> m</w:t>
            </w:r>
            <w:r w:rsidRPr="00B85FA7">
              <w:rPr>
                <w:rFonts w:cs="Times New Roman"/>
                <w:color w:val="000000"/>
                <w:kern w:val="0"/>
                <w:sz w:val="21"/>
                <w:vertAlign w:val="superscript"/>
              </w:rPr>
              <w:t>2</w:t>
            </w:r>
            <w:r w:rsidR="0047509E" w:rsidRPr="00B85FA7">
              <w:rPr>
                <w:rFonts w:cs="Times New Roman" w:hint="eastAsia"/>
                <w:color w:val="000000"/>
                <w:kern w:val="0"/>
                <w:sz w:val="21"/>
              </w:rPr>
              <w:t>。</w:t>
            </w:r>
          </w:p>
        </w:tc>
      </w:tr>
      <w:tr w:rsidR="002C72DC" w:rsidRPr="00B85FA7" w:rsidTr="009568DB">
        <w:trPr>
          <w:cantSplit/>
          <w:trHeight w:val="1971"/>
        </w:trPr>
        <w:tc>
          <w:tcPr>
            <w:tcW w:w="584" w:type="dxa"/>
            <w:vMerge/>
            <w:vAlign w:val="center"/>
          </w:tcPr>
          <w:p w:rsidR="002C72DC" w:rsidRPr="00B85FA7" w:rsidRDefault="002C72DC">
            <w:pPr>
              <w:spacing w:before="0" w:after="0" w:line="240" w:lineRule="auto"/>
              <w:ind w:firstLineChars="0" w:firstLine="0"/>
              <w:rPr>
                <w:rFonts w:cs="Times New Roman"/>
                <w:color w:val="000000"/>
                <w:kern w:val="0"/>
                <w:sz w:val="21"/>
              </w:rPr>
            </w:pP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B</w:t>
            </w:r>
          </w:p>
        </w:tc>
        <w:tc>
          <w:tcPr>
            <w:tcW w:w="3119" w:type="dxa"/>
            <w:vAlign w:val="center"/>
          </w:tcPr>
          <w:p w:rsidR="002C72DC" w:rsidRPr="00B85FA7" w:rsidRDefault="008411D0">
            <w:pPr>
              <w:spacing w:before="0" w:after="0" w:line="240" w:lineRule="auto"/>
              <w:ind w:firstLineChars="0" w:firstLine="0"/>
              <w:jc w:val="both"/>
              <w:rPr>
                <w:rFonts w:ascii="宋体" w:hAnsi="宋体" w:cs="宋体"/>
                <w:color w:val="000000"/>
                <w:kern w:val="0"/>
                <w:sz w:val="21"/>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通常配置</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，一般不少于</w:t>
            </w:r>
            <w:r w:rsidRPr="00B85FA7">
              <w:rPr>
                <w:rFonts w:cs="Times New Roman"/>
                <w:color w:val="000000"/>
                <w:kern w:val="0"/>
                <w:sz w:val="21"/>
              </w:rPr>
              <w:t>6</w:t>
            </w:r>
            <w:r w:rsidRPr="00B85FA7">
              <w:rPr>
                <w:rFonts w:ascii="宋体" w:hAnsi="宋体" w:cs="宋体" w:hint="eastAsia"/>
                <w:color w:val="000000"/>
                <w:kern w:val="0"/>
                <w:sz w:val="21"/>
              </w:rPr>
              <w:t>个发车通道。</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自行车停车场如需要，停车位宜分散布置，总数一般不少于</w:t>
            </w:r>
            <w:r w:rsidRPr="00B85FA7">
              <w:rPr>
                <w:rFonts w:cs="Times New Roman"/>
                <w:color w:val="000000"/>
                <w:kern w:val="0"/>
                <w:sz w:val="21"/>
              </w:rPr>
              <w:t>500</w:t>
            </w:r>
            <w:r w:rsidRPr="00B85FA7">
              <w:rPr>
                <w:rFonts w:ascii="宋体" w:hAnsi="宋体" w:cs="宋体" w:hint="eastAsia"/>
                <w:color w:val="000000"/>
                <w:kern w:val="0"/>
                <w:sz w:val="21"/>
              </w:rPr>
              <w:t>个。</w:t>
            </w:r>
          </w:p>
        </w:tc>
        <w:tc>
          <w:tcPr>
            <w:tcW w:w="3551"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规模一般不少于</w:t>
            </w:r>
            <w:r w:rsidRPr="00B85FA7">
              <w:rPr>
                <w:rFonts w:cs="Times New Roman"/>
                <w:color w:val="000000"/>
                <w:kern w:val="0"/>
                <w:sz w:val="21"/>
              </w:rPr>
              <w:t>6000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自行车停车场如需要，宜分散布置，总规模一般不少于</w:t>
            </w:r>
            <w:r w:rsidRPr="00B85FA7">
              <w:rPr>
                <w:rFonts w:cs="Times New Roman"/>
                <w:color w:val="000000"/>
                <w:kern w:val="0"/>
                <w:sz w:val="21"/>
              </w:rPr>
              <w:t>1000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tc>
      </w:tr>
      <w:tr w:rsidR="002C72DC" w:rsidRPr="00B85FA7" w:rsidTr="009568DB">
        <w:trPr>
          <w:cantSplit/>
          <w:trHeight w:val="1970"/>
        </w:trPr>
        <w:tc>
          <w:tcPr>
            <w:tcW w:w="584" w:type="dxa"/>
            <w:vMerge w:val="restart"/>
            <w:vAlign w:val="center"/>
          </w:tcPr>
          <w:p w:rsidR="002C72DC" w:rsidRPr="00B85FA7" w:rsidRDefault="008411D0">
            <w:pPr>
              <w:spacing w:before="0" w:after="0" w:line="240" w:lineRule="auto"/>
              <w:ind w:firstLineChars="0" w:firstLine="0"/>
              <w:rPr>
                <w:rFonts w:cs="Times New Roman"/>
                <w:color w:val="000000"/>
                <w:kern w:val="0"/>
                <w:sz w:val="21"/>
              </w:rPr>
            </w:pPr>
            <w:r w:rsidRPr="00B85FA7">
              <w:rPr>
                <w:rFonts w:cs="Times New Roman"/>
                <w:color w:val="000000"/>
                <w:kern w:val="0"/>
                <w:sz w:val="21"/>
              </w:rPr>
              <w:t>C</w:t>
            </w:r>
            <w:r w:rsidRPr="00B85FA7">
              <w:rPr>
                <w:rFonts w:ascii="宋体" w:hAnsi="宋体" w:cs="Times New Roman" w:hint="eastAsia"/>
                <w:color w:val="000000"/>
                <w:kern w:val="0"/>
                <w:sz w:val="21"/>
              </w:rPr>
              <w:t>类</w:t>
            </w: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C</w:t>
            </w:r>
          </w:p>
        </w:tc>
        <w:tc>
          <w:tcPr>
            <w:tcW w:w="3119"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如需要，一般不少于</w:t>
            </w:r>
            <w:r w:rsidRPr="00B85FA7">
              <w:rPr>
                <w:rFonts w:cs="Times New Roman"/>
                <w:color w:val="000000"/>
                <w:kern w:val="0"/>
                <w:sz w:val="21"/>
              </w:rPr>
              <w:t>6</w:t>
            </w:r>
            <w:r w:rsidRPr="00B85FA7">
              <w:rPr>
                <w:rFonts w:ascii="宋体" w:hAnsi="宋体" w:cs="宋体" w:hint="eastAsia"/>
                <w:color w:val="000000"/>
                <w:kern w:val="0"/>
                <w:sz w:val="21"/>
              </w:rPr>
              <w:t>个发车通道。</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自行车停车场如需要，停车位宜分散布置，总数一般不少于</w:t>
            </w:r>
            <w:r w:rsidRPr="00B85FA7">
              <w:rPr>
                <w:rFonts w:cs="Times New Roman"/>
                <w:color w:val="000000"/>
                <w:kern w:val="0"/>
                <w:sz w:val="21"/>
              </w:rPr>
              <w:t>500</w:t>
            </w:r>
            <w:r w:rsidRPr="00B85FA7">
              <w:rPr>
                <w:rFonts w:ascii="宋体" w:hAnsi="宋体" w:cs="宋体" w:hint="eastAsia"/>
                <w:color w:val="000000"/>
                <w:kern w:val="0"/>
                <w:sz w:val="21"/>
              </w:rPr>
              <w:t>个。</w:t>
            </w:r>
          </w:p>
        </w:tc>
        <w:tc>
          <w:tcPr>
            <w:tcW w:w="3551"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公交</w:t>
            </w:r>
            <w:proofErr w:type="gramStart"/>
            <w:r w:rsidR="00CD52A4" w:rsidRPr="00B85FA7">
              <w:rPr>
                <w:rFonts w:ascii="宋体" w:hAnsi="宋体" w:cs="宋体" w:hint="eastAsia"/>
                <w:color w:val="000000"/>
                <w:kern w:val="0"/>
                <w:sz w:val="21"/>
              </w:rPr>
              <w:t>换乘场</w:t>
            </w:r>
            <w:proofErr w:type="gramEnd"/>
            <w:r w:rsidRPr="00B85FA7">
              <w:rPr>
                <w:rFonts w:ascii="宋体" w:hAnsi="宋体" w:cs="宋体" w:hint="eastAsia"/>
                <w:color w:val="000000"/>
                <w:kern w:val="0"/>
                <w:sz w:val="21"/>
              </w:rPr>
              <w:t>如需要，规模一般不少于</w:t>
            </w:r>
            <w:r w:rsidRPr="00B85FA7">
              <w:rPr>
                <w:rFonts w:cs="Times New Roman"/>
                <w:color w:val="000000"/>
                <w:kern w:val="0"/>
                <w:sz w:val="21"/>
              </w:rPr>
              <w:t>6000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自行车停车场如需要，宜分散布置，总规模一般不少于</w:t>
            </w:r>
            <w:r w:rsidRPr="00B85FA7">
              <w:rPr>
                <w:rFonts w:cs="Times New Roman"/>
                <w:color w:val="000000"/>
                <w:kern w:val="0"/>
                <w:sz w:val="21"/>
              </w:rPr>
              <w:t>1000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tc>
      </w:tr>
      <w:tr w:rsidR="002C72DC" w:rsidRPr="00B85FA7" w:rsidTr="009568DB">
        <w:trPr>
          <w:cantSplit/>
          <w:trHeight w:val="3089"/>
        </w:trPr>
        <w:tc>
          <w:tcPr>
            <w:tcW w:w="584" w:type="dxa"/>
            <w:vMerge/>
            <w:vAlign w:val="center"/>
          </w:tcPr>
          <w:p w:rsidR="002C72DC" w:rsidRPr="00B85FA7" w:rsidRDefault="002C72DC">
            <w:pPr>
              <w:spacing w:before="0" w:after="0" w:line="240" w:lineRule="auto"/>
              <w:ind w:firstLineChars="0" w:firstLine="0"/>
              <w:rPr>
                <w:rFonts w:cs="Times New Roman"/>
                <w:color w:val="000000"/>
                <w:kern w:val="0"/>
                <w:sz w:val="21"/>
              </w:rPr>
            </w:pP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Ⅱ</w:t>
            </w:r>
            <w:r w:rsidRPr="00B85FA7">
              <w:rPr>
                <w:rFonts w:cs="Times New Roman"/>
                <w:color w:val="000000"/>
                <w:kern w:val="0"/>
                <w:sz w:val="21"/>
              </w:rPr>
              <w:t>C</w:t>
            </w:r>
          </w:p>
        </w:tc>
        <w:tc>
          <w:tcPr>
            <w:tcW w:w="3119"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一般不少于</w:t>
            </w:r>
            <w:r w:rsidRPr="00B85FA7">
              <w:rPr>
                <w:rFonts w:cs="Times New Roman"/>
                <w:color w:val="000000"/>
                <w:kern w:val="0"/>
                <w:sz w:val="21"/>
              </w:rPr>
              <w:t>6</w:t>
            </w:r>
            <w:r w:rsidRPr="00B85FA7">
              <w:rPr>
                <w:rFonts w:ascii="宋体" w:hAnsi="宋体" w:cs="宋体" w:hint="eastAsia"/>
                <w:color w:val="000000"/>
                <w:kern w:val="0"/>
                <w:sz w:val="21"/>
              </w:rPr>
              <w:t>个发车通道。</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出租汽车停车场如需要，一般在路外场地设</w:t>
            </w:r>
            <w:r w:rsidRPr="00B85FA7">
              <w:rPr>
                <w:rFonts w:cs="Times New Roman"/>
                <w:color w:val="000000"/>
                <w:kern w:val="0"/>
                <w:sz w:val="21"/>
              </w:rPr>
              <w:t>1</w:t>
            </w:r>
            <w:r w:rsidRPr="00B85FA7">
              <w:rPr>
                <w:rFonts w:ascii="宋体" w:hAnsi="宋体" w:cs="宋体" w:hint="eastAsia"/>
                <w:color w:val="000000"/>
                <w:kern w:val="0"/>
                <w:sz w:val="21"/>
              </w:rPr>
              <w:t>条港湾通道及回车道构成，通道应能停靠不少于</w:t>
            </w:r>
            <w:r w:rsidRPr="00B85FA7">
              <w:rPr>
                <w:rFonts w:cs="Times New Roman"/>
                <w:color w:val="000000"/>
                <w:kern w:val="0"/>
                <w:sz w:val="21"/>
              </w:rPr>
              <w:t>5</w:t>
            </w:r>
            <w:r w:rsidRPr="00B85FA7">
              <w:rPr>
                <w:rFonts w:ascii="宋体" w:hAnsi="宋体" w:cs="宋体" w:hint="eastAsia"/>
                <w:color w:val="000000"/>
                <w:kern w:val="0"/>
                <w:sz w:val="21"/>
              </w:rPr>
              <w:t>辆车。</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自行车停车场如需要，停车位宜分散布置，总数一般不少于</w:t>
            </w:r>
            <w:r w:rsidRPr="00B85FA7">
              <w:rPr>
                <w:rFonts w:cs="Times New Roman"/>
                <w:color w:val="000000"/>
                <w:kern w:val="0"/>
                <w:sz w:val="21"/>
              </w:rPr>
              <w:t>500</w:t>
            </w:r>
            <w:r w:rsidRPr="00B85FA7">
              <w:rPr>
                <w:rFonts w:ascii="宋体" w:hAnsi="宋体" w:cs="宋体" w:hint="eastAsia"/>
                <w:color w:val="000000"/>
                <w:kern w:val="0"/>
                <w:sz w:val="21"/>
              </w:rPr>
              <w:t>个。</w:t>
            </w:r>
          </w:p>
        </w:tc>
        <w:tc>
          <w:tcPr>
            <w:tcW w:w="3551"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规模一般不少于</w:t>
            </w:r>
            <w:r w:rsidRPr="00B85FA7">
              <w:rPr>
                <w:rFonts w:cs="Times New Roman"/>
                <w:color w:val="000000"/>
                <w:kern w:val="0"/>
                <w:sz w:val="21"/>
              </w:rPr>
              <w:t>6000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出租汽车停车场如需要，规模一般不少于</w:t>
            </w:r>
            <w:r w:rsidRPr="00B85FA7">
              <w:rPr>
                <w:rFonts w:cs="Times New Roman"/>
                <w:color w:val="000000"/>
                <w:kern w:val="0"/>
                <w:sz w:val="21"/>
              </w:rPr>
              <w:t>500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自行车停车场如需要，宜分散布置，总规模一般不少于</w:t>
            </w:r>
            <w:r w:rsidRPr="00B85FA7">
              <w:rPr>
                <w:rFonts w:cs="Times New Roman"/>
                <w:color w:val="000000"/>
                <w:kern w:val="0"/>
                <w:sz w:val="21"/>
              </w:rPr>
              <w:t>1000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r w:rsidRPr="00B85FA7">
              <w:rPr>
                <w:rFonts w:ascii="宋体" w:hAnsi="宋体" w:cs="宋体" w:hint="eastAsia"/>
                <w:color w:val="000000"/>
                <w:kern w:val="0"/>
                <w:sz w:val="22"/>
                <w:szCs w:val="22"/>
              </w:rPr>
              <w:t xml:space="preserve">　</w:t>
            </w:r>
          </w:p>
        </w:tc>
      </w:tr>
      <w:tr w:rsidR="002C72DC" w:rsidRPr="00B85FA7" w:rsidTr="009568DB">
        <w:trPr>
          <w:cantSplit/>
          <w:trHeight w:val="20"/>
        </w:trPr>
        <w:tc>
          <w:tcPr>
            <w:tcW w:w="584"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D</w:t>
            </w:r>
            <w:r w:rsidRPr="00B85FA7">
              <w:rPr>
                <w:rFonts w:ascii="宋体" w:hAnsi="宋体" w:cs="Times New Roman" w:hint="eastAsia"/>
                <w:color w:val="000000"/>
                <w:kern w:val="0"/>
                <w:sz w:val="21"/>
              </w:rPr>
              <w:t>类</w:t>
            </w: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 xml:space="preserve">D/ </w:t>
            </w:r>
            <w:r w:rsidRPr="00B85FA7">
              <w:rPr>
                <w:rFonts w:ascii="宋体" w:hAnsi="宋体" w:cs="宋体" w:hint="eastAsia"/>
                <w:color w:val="000000"/>
                <w:kern w:val="0"/>
                <w:sz w:val="21"/>
              </w:rPr>
              <w:t>Ⅱ</w:t>
            </w:r>
            <w:r w:rsidRPr="00B85FA7">
              <w:rPr>
                <w:rFonts w:cs="Times New Roman"/>
                <w:color w:val="000000"/>
                <w:kern w:val="0"/>
                <w:sz w:val="21"/>
              </w:rPr>
              <w:t>D</w:t>
            </w:r>
          </w:p>
        </w:tc>
        <w:tc>
          <w:tcPr>
            <w:tcW w:w="3119"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根据特殊控制要求确定。</w:t>
            </w:r>
          </w:p>
        </w:tc>
        <w:tc>
          <w:tcPr>
            <w:tcW w:w="3551"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根据特殊控制要求确定。</w:t>
            </w:r>
          </w:p>
        </w:tc>
      </w:tr>
      <w:tr w:rsidR="002C72DC" w:rsidRPr="00B85FA7" w:rsidTr="009568DB">
        <w:trPr>
          <w:cantSplit/>
          <w:trHeight w:val="522"/>
        </w:trPr>
        <w:tc>
          <w:tcPr>
            <w:tcW w:w="584" w:type="dxa"/>
            <w:vMerge w:val="restart"/>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t xml:space="preserve">E </w:t>
            </w:r>
            <w:r w:rsidRPr="00B85FA7">
              <w:rPr>
                <w:rFonts w:ascii="宋体" w:hAnsi="宋体" w:cs="Times New Roman" w:hint="eastAsia"/>
                <w:color w:val="000000"/>
                <w:kern w:val="0"/>
                <w:sz w:val="21"/>
              </w:rPr>
              <w:t>类</w:t>
            </w: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 xml:space="preserve">E/ </w:t>
            </w:r>
            <w:r w:rsidRPr="00B85FA7">
              <w:rPr>
                <w:rFonts w:ascii="宋体" w:hAnsi="宋体" w:cs="宋体" w:hint="eastAsia"/>
                <w:color w:val="000000"/>
                <w:kern w:val="0"/>
                <w:sz w:val="21"/>
              </w:rPr>
              <w:t>Ⅱ</w:t>
            </w:r>
            <w:r w:rsidRPr="00B85FA7">
              <w:rPr>
                <w:rFonts w:cs="Times New Roman"/>
                <w:color w:val="000000"/>
                <w:kern w:val="0"/>
                <w:sz w:val="21"/>
              </w:rPr>
              <w:t>E</w:t>
            </w:r>
            <w:r w:rsidRPr="00B85FA7">
              <w:rPr>
                <w:rFonts w:ascii="宋体" w:hAnsi="宋体" w:cs="宋体" w:hint="eastAsia"/>
                <w:color w:val="000000"/>
                <w:kern w:val="0"/>
                <w:sz w:val="21"/>
              </w:rPr>
              <w:t>（中心）</w:t>
            </w:r>
          </w:p>
        </w:tc>
        <w:tc>
          <w:tcPr>
            <w:tcW w:w="3119"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参照</w:t>
            </w:r>
            <w:r w:rsidRPr="00B85FA7">
              <w:rPr>
                <w:rFonts w:cs="Times New Roman"/>
                <w:color w:val="000000"/>
                <w:kern w:val="0"/>
                <w:sz w:val="21"/>
              </w:rPr>
              <w:t>B</w:t>
            </w:r>
            <w:r w:rsidRPr="00B85FA7">
              <w:rPr>
                <w:rFonts w:ascii="宋体" w:hAnsi="宋体" w:cs="宋体" w:hint="eastAsia"/>
                <w:color w:val="000000"/>
                <w:kern w:val="0"/>
                <w:sz w:val="21"/>
              </w:rPr>
              <w:t>类、</w:t>
            </w:r>
            <w:r w:rsidRPr="00B85FA7">
              <w:rPr>
                <w:rFonts w:cs="Times New Roman"/>
                <w:color w:val="000000"/>
                <w:kern w:val="0"/>
                <w:sz w:val="21"/>
              </w:rPr>
              <w:t>C</w:t>
            </w:r>
            <w:r w:rsidRPr="00B85FA7">
              <w:rPr>
                <w:rFonts w:ascii="宋体" w:hAnsi="宋体" w:cs="宋体" w:hint="eastAsia"/>
                <w:color w:val="000000"/>
                <w:kern w:val="0"/>
                <w:sz w:val="21"/>
              </w:rPr>
              <w:t>类原则。</w:t>
            </w:r>
          </w:p>
        </w:tc>
        <w:tc>
          <w:tcPr>
            <w:tcW w:w="3551" w:type="dxa"/>
            <w:vAlign w:val="center"/>
          </w:tcPr>
          <w:p w:rsidR="002C72DC" w:rsidRPr="00B85FA7" w:rsidRDefault="008411D0">
            <w:pPr>
              <w:spacing w:before="0" w:after="0" w:line="240" w:lineRule="auto"/>
              <w:ind w:firstLineChars="0" w:firstLine="0"/>
              <w:jc w:val="both"/>
              <w:rPr>
                <w:rFonts w:cs="Times New Roman"/>
                <w:color w:val="000000"/>
                <w:kern w:val="0"/>
                <w:sz w:val="21"/>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参照</w:t>
            </w:r>
            <w:r w:rsidRPr="00B85FA7">
              <w:rPr>
                <w:rFonts w:cs="Times New Roman"/>
                <w:color w:val="000000"/>
                <w:kern w:val="0"/>
                <w:sz w:val="21"/>
              </w:rPr>
              <w:t>B</w:t>
            </w:r>
            <w:r w:rsidRPr="00B85FA7">
              <w:rPr>
                <w:rFonts w:ascii="宋体" w:hAnsi="宋体" w:cs="宋体" w:hint="eastAsia"/>
                <w:color w:val="000000"/>
                <w:kern w:val="0"/>
                <w:sz w:val="21"/>
              </w:rPr>
              <w:t>类、</w:t>
            </w:r>
            <w:r w:rsidRPr="00B85FA7">
              <w:rPr>
                <w:rFonts w:cs="Times New Roman"/>
                <w:color w:val="000000"/>
                <w:kern w:val="0"/>
                <w:sz w:val="21"/>
              </w:rPr>
              <w:t>C</w:t>
            </w:r>
            <w:r w:rsidRPr="00B85FA7">
              <w:rPr>
                <w:rFonts w:ascii="宋体" w:hAnsi="宋体" w:cs="宋体" w:hint="eastAsia"/>
                <w:color w:val="000000"/>
                <w:kern w:val="0"/>
                <w:sz w:val="21"/>
              </w:rPr>
              <w:t>类规模。</w:t>
            </w:r>
          </w:p>
        </w:tc>
      </w:tr>
      <w:tr w:rsidR="002C72DC" w:rsidRPr="00B85FA7" w:rsidTr="009568DB">
        <w:trPr>
          <w:cantSplit/>
          <w:trHeight w:val="3662"/>
        </w:trPr>
        <w:tc>
          <w:tcPr>
            <w:tcW w:w="584" w:type="dxa"/>
            <w:vMerge/>
            <w:vAlign w:val="center"/>
          </w:tcPr>
          <w:p w:rsidR="002C72DC" w:rsidRPr="00B85FA7" w:rsidRDefault="002C72DC">
            <w:pPr>
              <w:spacing w:before="0" w:after="0" w:line="240" w:lineRule="auto"/>
              <w:ind w:firstLineChars="0" w:firstLine="0"/>
              <w:rPr>
                <w:rFonts w:cs="Times New Roman"/>
                <w:color w:val="000000"/>
                <w:kern w:val="0"/>
                <w:sz w:val="21"/>
              </w:rPr>
            </w:pP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 xml:space="preserve">E/ </w:t>
            </w:r>
            <w:r w:rsidRPr="00B85FA7">
              <w:rPr>
                <w:rFonts w:ascii="宋体" w:hAnsi="宋体" w:cs="宋体" w:hint="eastAsia"/>
                <w:color w:val="000000"/>
                <w:kern w:val="0"/>
                <w:sz w:val="21"/>
              </w:rPr>
              <w:t>Ⅱ</w:t>
            </w:r>
            <w:r w:rsidRPr="00B85FA7">
              <w:rPr>
                <w:rFonts w:cs="Times New Roman"/>
                <w:color w:val="000000"/>
                <w:kern w:val="0"/>
                <w:sz w:val="21"/>
              </w:rPr>
              <w:t>E</w:t>
            </w:r>
            <w:r w:rsidRPr="00B85FA7">
              <w:rPr>
                <w:rFonts w:ascii="宋体" w:hAnsi="宋体" w:cs="宋体" w:hint="eastAsia"/>
                <w:color w:val="000000"/>
                <w:kern w:val="0"/>
                <w:sz w:val="21"/>
              </w:rPr>
              <w:t>（外围）</w:t>
            </w:r>
          </w:p>
        </w:tc>
        <w:tc>
          <w:tcPr>
            <w:tcW w:w="3119"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ascii="宋体" w:hAnsi="宋体" w:cs="宋体" w:hint="eastAsia"/>
                <w:color w:val="000000"/>
                <w:kern w:val="0"/>
                <w:sz w:val="21"/>
              </w:rPr>
              <w:t>通常</w:t>
            </w:r>
            <w:r w:rsidRPr="00B85FA7">
              <w:rPr>
                <w:rFonts w:ascii="宋体" w:hAnsi="宋体" w:cs="宋体"/>
                <w:color w:val="000000"/>
                <w:kern w:val="0"/>
                <w:sz w:val="21"/>
              </w:rPr>
              <w:t>配置</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，不少于</w:t>
            </w:r>
            <w:r w:rsidRPr="00B85FA7">
              <w:rPr>
                <w:rFonts w:cs="Times New Roman"/>
                <w:color w:val="000000"/>
                <w:kern w:val="0"/>
                <w:sz w:val="21"/>
              </w:rPr>
              <w:t>8</w:t>
            </w:r>
            <w:r w:rsidRPr="00B85FA7">
              <w:rPr>
                <w:rFonts w:ascii="宋体" w:hAnsi="宋体" w:cs="宋体" w:hint="eastAsia"/>
                <w:color w:val="000000"/>
                <w:kern w:val="0"/>
                <w:sz w:val="21"/>
              </w:rPr>
              <w:t>个发车通道。</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出租汽车停车场如需要，一般在路外场地设</w:t>
            </w:r>
            <w:r w:rsidRPr="00B85FA7">
              <w:rPr>
                <w:rFonts w:cs="Times New Roman"/>
                <w:color w:val="000000"/>
                <w:kern w:val="0"/>
                <w:sz w:val="21"/>
              </w:rPr>
              <w:t>1~2</w:t>
            </w:r>
            <w:r w:rsidRPr="00B85FA7">
              <w:rPr>
                <w:rFonts w:ascii="宋体" w:hAnsi="宋体" w:cs="宋体" w:hint="eastAsia"/>
                <w:color w:val="000000"/>
                <w:kern w:val="0"/>
                <w:sz w:val="21"/>
              </w:rPr>
              <w:t>条港湾通道及回车道构成，每条通道应能停靠不少于</w:t>
            </w:r>
            <w:r w:rsidRPr="00B85FA7">
              <w:rPr>
                <w:rFonts w:cs="Times New Roman"/>
                <w:color w:val="000000"/>
                <w:kern w:val="0"/>
                <w:sz w:val="21"/>
              </w:rPr>
              <w:t>5</w:t>
            </w:r>
            <w:r w:rsidRPr="00B85FA7">
              <w:rPr>
                <w:rFonts w:ascii="宋体" w:hAnsi="宋体" w:cs="宋体" w:hint="eastAsia"/>
                <w:color w:val="000000"/>
                <w:kern w:val="0"/>
                <w:sz w:val="21"/>
              </w:rPr>
              <w:t>辆车。</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cs="Times New Roman" w:hint="eastAsia"/>
                <w:color w:val="000000"/>
                <w:kern w:val="0"/>
                <w:sz w:val="21"/>
              </w:rPr>
              <w:t>P+R</w:t>
            </w:r>
            <w:r w:rsidRPr="00B85FA7">
              <w:rPr>
                <w:rFonts w:ascii="宋体" w:hAnsi="宋体" w:cs="宋体" w:hint="eastAsia"/>
                <w:color w:val="000000"/>
                <w:kern w:val="0"/>
                <w:sz w:val="21"/>
              </w:rPr>
              <w:t>停车功能如需要，宜结合配建停车场设置，车位一般不多于</w:t>
            </w:r>
            <w:r w:rsidRPr="00B85FA7">
              <w:rPr>
                <w:rFonts w:cs="Times New Roman" w:hint="eastAsia"/>
                <w:color w:val="000000"/>
                <w:kern w:val="0"/>
                <w:sz w:val="21"/>
              </w:rPr>
              <w:t>200</w:t>
            </w:r>
            <w:r w:rsidRPr="00B85FA7">
              <w:rPr>
                <w:rFonts w:ascii="宋体" w:hAnsi="宋体" w:cs="宋体" w:hint="eastAsia"/>
                <w:color w:val="000000"/>
                <w:kern w:val="0"/>
                <w:sz w:val="21"/>
              </w:rPr>
              <w:t>个。</w:t>
            </w:r>
          </w:p>
          <w:p w:rsidR="002C72DC" w:rsidRPr="00B85FA7" w:rsidRDefault="008411D0" w:rsidP="002D3141">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自行车停车场停车位宜分散布置，总数一般不少于</w:t>
            </w:r>
            <w:r w:rsidRPr="00B85FA7">
              <w:rPr>
                <w:rFonts w:cs="Times New Roman"/>
                <w:color w:val="000000"/>
                <w:kern w:val="0"/>
                <w:sz w:val="21"/>
              </w:rPr>
              <w:t>800</w:t>
            </w:r>
            <w:r w:rsidRPr="00B85FA7">
              <w:rPr>
                <w:rFonts w:ascii="宋体" w:hAnsi="宋体" w:cs="宋体" w:hint="eastAsia"/>
                <w:color w:val="000000"/>
                <w:kern w:val="0"/>
                <w:sz w:val="21"/>
              </w:rPr>
              <w:t>个。</w:t>
            </w:r>
          </w:p>
        </w:tc>
        <w:tc>
          <w:tcPr>
            <w:tcW w:w="3551"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规模一般不少于</w:t>
            </w:r>
            <w:r w:rsidRPr="00B85FA7">
              <w:rPr>
                <w:rFonts w:cs="Times New Roman"/>
                <w:color w:val="000000"/>
                <w:kern w:val="0"/>
                <w:sz w:val="21"/>
              </w:rPr>
              <w:t>8000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出租汽车停车场如需要，规模一般不</w:t>
            </w:r>
            <w:r w:rsidRPr="00B85FA7">
              <w:rPr>
                <w:rFonts w:ascii="宋体" w:hAnsi="宋体" w:cs="宋体"/>
                <w:color w:val="000000"/>
                <w:kern w:val="0"/>
                <w:sz w:val="21"/>
              </w:rPr>
              <w:t>少于</w:t>
            </w:r>
            <w:r w:rsidRPr="00B85FA7">
              <w:rPr>
                <w:rFonts w:cs="Times New Roman"/>
                <w:color w:val="000000"/>
                <w:kern w:val="0"/>
                <w:sz w:val="21"/>
              </w:rPr>
              <w:t>500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hint="eastAsia"/>
                <w:color w:val="000000"/>
                <w:kern w:val="0"/>
                <w:sz w:val="21"/>
              </w:rPr>
              <w:t>P+R</w:t>
            </w:r>
            <w:r w:rsidRPr="00B85FA7">
              <w:rPr>
                <w:rFonts w:ascii="宋体" w:hAnsi="宋体" w:cs="宋体" w:hint="eastAsia"/>
                <w:color w:val="000000"/>
                <w:kern w:val="0"/>
                <w:sz w:val="21"/>
              </w:rPr>
              <w:t>停车功能如需要，宜结合配建停车场设置，规模一般不多于</w:t>
            </w:r>
            <w:r w:rsidRPr="00B85FA7">
              <w:rPr>
                <w:rFonts w:cs="Times New Roman" w:hint="eastAsia"/>
                <w:color w:val="000000"/>
                <w:kern w:val="0"/>
                <w:sz w:val="21"/>
              </w:rPr>
              <w:t>6</w:t>
            </w:r>
            <w:r w:rsidRPr="00B85FA7">
              <w:rPr>
                <w:rFonts w:cs="Times New Roman"/>
                <w:color w:val="000000"/>
                <w:kern w:val="0"/>
                <w:sz w:val="21"/>
              </w:rPr>
              <w:t>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8411D0" w:rsidP="002D3141">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自行车停车场规模一般不少于</w:t>
            </w:r>
            <w:r w:rsidRPr="00B85FA7">
              <w:rPr>
                <w:rFonts w:cs="Times New Roman"/>
                <w:color w:val="000000"/>
                <w:kern w:val="0"/>
                <w:sz w:val="21"/>
              </w:rPr>
              <w:t>1600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tc>
      </w:tr>
      <w:tr w:rsidR="002C72DC" w:rsidRPr="00B85FA7" w:rsidTr="009568DB">
        <w:trPr>
          <w:cantSplit/>
          <w:trHeight w:val="1564"/>
        </w:trPr>
        <w:tc>
          <w:tcPr>
            <w:tcW w:w="584" w:type="dxa"/>
            <w:vAlign w:val="center"/>
          </w:tcPr>
          <w:p w:rsidR="002C72DC" w:rsidRPr="00B85FA7" w:rsidRDefault="008411D0">
            <w:pPr>
              <w:spacing w:before="0" w:after="0" w:line="240" w:lineRule="auto"/>
              <w:ind w:firstLineChars="0" w:firstLine="0"/>
              <w:jc w:val="center"/>
              <w:rPr>
                <w:rFonts w:cs="Times New Roman"/>
                <w:color w:val="000000"/>
                <w:kern w:val="0"/>
                <w:sz w:val="21"/>
              </w:rPr>
            </w:pPr>
            <w:r w:rsidRPr="00B85FA7">
              <w:rPr>
                <w:rFonts w:cs="Times New Roman"/>
                <w:color w:val="000000"/>
                <w:kern w:val="0"/>
                <w:sz w:val="21"/>
              </w:rPr>
              <w:lastRenderedPageBreak/>
              <w:t>F</w:t>
            </w:r>
            <w:r w:rsidRPr="00B85FA7">
              <w:rPr>
                <w:rFonts w:ascii="宋体" w:hAnsi="宋体" w:cs="Times New Roman" w:hint="eastAsia"/>
                <w:color w:val="000000"/>
                <w:kern w:val="0"/>
                <w:sz w:val="21"/>
              </w:rPr>
              <w:t>类</w:t>
            </w:r>
          </w:p>
        </w:tc>
        <w:tc>
          <w:tcPr>
            <w:tcW w:w="1225" w:type="dxa"/>
            <w:vAlign w:val="center"/>
          </w:tcPr>
          <w:p w:rsidR="002C72DC" w:rsidRPr="00B85FA7" w:rsidRDefault="008411D0">
            <w:pPr>
              <w:spacing w:before="0" w:after="0" w:line="240" w:lineRule="auto"/>
              <w:ind w:firstLineChars="0" w:firstLine="0"/>
              <w:jc w:val="center"/>
              <w:rPr>
                <w:rFonts w:ascii="宋体" w:hAnsi="宋体" w:cs="宋体"/>
                <w:color w:val="000000"/>
                <w:kern w:val="0"/>
                <w:sz w:val="21"/>
              </w:rPr>
            </w:pPr>
            <w:r w:rsidRPr="00B85FA7">
              <w:rPr>
                <w:rFonts w:ascii="宋体" w:hAnsi="宋体" w:cs="宋体" w:hint="eastAsia"/>
                <w:color w:val="000000"/>
                <w:kern w:val="0"/>
                <w:sz w:val="21"/>
              </w:rPr>
              <w:t>Ⅰ</w:t>
            </w:r>
            <w:r w:rsidRPr="00B85FA7">
              <w:rPr>
                <w:rFonts w:cs="Times New Roman"/>
                <w:color w:val="000000"/>
                <w:kern w:val="0"/>
                <w:sz w:val="21"/>
              </w:rPr>
              <w:t>F/</w:t>
            </w:r>
            <w:r w:rsidRPr="00B85FA7">
              <w:rPr>
                <w:rFonts w:ascii="宋体" w:hAnsi="宋体" w:cs="宋体" w:hint="eastAsia"/>
                <w:color w:val="000000"/>
                <w:kern w:val="0"/>
                <w:sz w:val="21"/>
              </w:rPr>
              <w:t>Ⅱ</w:t>
            </w:r>
            <w:r w:rsidRPr="00B85FA7">
              <w:rPr>
                <w:rFonts w:cs="Times New Roman"/>
                <w:color w:val="000000"/>
                <w:kern w:val="0"/>
                <w:sz w:val="21"/>
              </w:rPr>
              <w:t>F</w:t>
            </w:r>
          </w:p>
        </w:tc>
        <w:tc>
          <w:tcPr>
            <w:tcW w:w="3119"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如需要，一般不少于</w:t>
            </w:r>
            <w:r w:rsidRPr="00B85FA7">
              <w:rPr>
                <w:rFonts w:cs="Times New Roman"/>
                <w:color w:val="000000"/>
                <w:kern w:val="0"/>
                <w:sz w:val="21"/>
              </w:rPr>
              <w:t>4</w:t>
            </w:r>
            <w:r w:rsidRPr="00B85FA7">
              <w:rPr>
                <w:rFonts w:ascii="宋体" w:hAnsi="宋体" w:cs="宋体" w:hint="eastAsia"/>
                <w:color w:val="000000"/>
                <w:kern w:val="0"/>
                <w:sz w:val="21"/>
              </w:rPr>
              <w:t>个发车通道。</w:t>
            </w:r>
          </w:p>
          <w:p w:rsidR="002C72DC" w:rsidRPr="00B85FA7" w:rsidRDefault="002D3141" w:rsidP="00D23FDD">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w:t>
            </w:r>
            <w:r w:rsidR="008411D0" w:rsidRPr="00B85FA7">
              <w:rPr>
                <w:rFonts w:ascii="宋体" w:hAnsi="宋体" w:cs="宋体" w:hint="eastAsia"/>
                <w:color w:val="000000"/>
                <w:kern w:val="0"/>
                <w:sz w:val="21"/>
              </w:rPr>
              <w:t>行车停车场如需要，停车位宜分散布置，总数一般不少于</w:t>
            </w:r>
            <w:r w:rsidR="008411D0" w:rsidRPr="00B85FA7">
              <w:rPr>
                <w:rFonts w:ascii="宋体" w:hAnsi="宋体" w:cs="宋体"/>
                <w:color w:val="000000"/>
                <w:kern w:val="0"/>
                <w:sz w:val="21"/>
              </w:rPr>
              <w:t>500</w:t>
            </w:r>
            <w:r w:rsidR="008411D0" w:rsidRPr="00B85FA7">
              <w:rPr>
                <w:rFonts w:ascii="宋体" w:hAnsi="宋体" w:cs="宋体" w:hint="eastAsia"/>
                <w:color w:val="000000"/>
                <w:kern w:val="0"/>
                <w:sz w:val="21"/>
              </w:rPr>
              <w:t>个。</w:t>
            </w:r>
          </w:p>
        </w:tc>
        <w:tc>
          <w:tcPr>
            <w:tcW w:w="3551" w:type="dxa"/>
            <w:vAlign w:val="center"/>
          </w:tcPr>
          <w:p w:rsidR="002C72DC" w:rsidRPr="00B85FA7" w:rsidRDefault="008411D0">
            <w:pPr>
              <w:spacing w:before="0" w:after="0" w:line="240" w:lineRule="auto"/>
              <w:ind w:firstLineChars="0" w:firstLine="0"/>
              <w:jc w:val="both"/>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00B92CC3" w:rsidRPr="00B85FA7">
              <w:rPr>
                <w:rFonts w:ascii="宋体" w:hAnsi="宋体" w:cs="宋体" w:hint="eastAsia"/>
                <w:color w:val="000000"/>
                <w:kern w:val="0"/>
                <w:sz w:val="21"/>
              </w:rPr>
              <w:t>公交换乘场站</w:t>
            </w:r>
            <w:r w:rsidRPr="00B85FA7">
              <w:rPr>
                <w:rFonts w:ascii="宋体" w:hAnsi="宋体" w:cs="宋体" w:hint="eastAsia"/>
                <w:color w:val="000000"/>
                <w:kern w:val="0"/>
                <w:sz w:val="21"/>
              </w:rPr>
              <w:t>如</w:t>
            </w:r>
            <w:r w:rsidRPr="00B85FA7">
              <w:rPr>
                <w:rFonts w:ascii="宋体" w:hAnsi="宋体" w:cs="宋体"/>
                <w:color w:val="000000"/>
                <w:kern w:val="0"/>
                <w:sz w:val="21"/>
              </w:rPr>
              <w:t>需要，</w:t>
            </w:r>
            <w:r w:rsidRPr="00B85FA7">
              <w:rPr>
                <w:rFonts w:ascii="宋体" w:hAnsi="宋体" w:cs="宋体" w:hint="eastAsia"/>
                <w:color w:val="000000"/>
                <w:kern w:val="0"/>
                <w:sz w:val="21"/>
              </w:rPr>
              <w:t>规模一般不少于</w:t>
            </w:r>
            <w:r w:rsidRPr="00B85FA7">
              <w:rPr>
                <w:rFonts w:cs="Times New Roman"/>
                <w:color w:val="000000"/>
                <w:kern w:val="0"/>
                <w:sz w:val="21"/>
              </w:rPr>
              <w:t>4000 m</w:t>
            </w:r>
            <w:r w:rsidRPr="00B85FA7">
              <w:rPr>
                <w:rFonts w:cs="Times New Roman"/>
                <w:color w:val="000000"/>
                <w:kern w:val="0"/>
                <w:sz w:val="21"/>
                <w:vertAlign w:val="superscript"/>
              </w:rPr>
              <w:t>2</w:t>
            </w:r>
            <w:r w:rsidRPr="00B85FA7">
              <w:rPr>
                <w:rFonts w:ascii="宋体" w:hAnsi="宋体" w:cs="宋体" w:hint="eastAsia"/>
                <w:color w:val="000000"/>
                <w:kern w:val="0"/>
                <w:sz w:val="21"/>
              </w:rPr>
              <w:t>。</w:t>
            </w:r>
          </w:p>
          <w:p w:rsidR="002C72DC" w:rsidRPr="00B85FA7" w:rsidRDefault="002D3141" w:rsidP="00D23FDD">
            <w:pPr>
              <w:spacing w:before="0" w:after="0" w:line="240" w:lineRule="auto"/>
              <w:ind w:firstLineChars="0" w:firstLine="0"/>
              <w:rPr>
                <w:rFonts w:ascii="Wingdings" w:hAnsi="Wingdings" w:cs="宋体"/>
                <w:color w:val="000000"/>
                <w:kern w:val="0"/>
                <w:sz w:val="18"/>
                <w:szCs w:val="18"/>
              </w:rPr>
            </w:pPr>
            <w:r w:rsidRPr="00B85FA7">
              <w:rPr>
                <w:rFonts w:ascii="Wingdings" w:hAnsi="Wingdings" w:cs="宋体"/>
                <w:color w:val="000000"/>
                <w:kern w:val="0"/>
                <w:sz w:val="18"/>
                <w:szCs w:val="18"/>
              </w:rPr>
              <w:t></w:t>
            </w:r>
            <w:r w:rsidRPr="00B85FA7">
              <w:rPr>
                <w:rFonts w:cs="Times New Roman"/>
                <w:color w:val="000000"/>
                <w:kern w:val="0"/>
                <w:sz w:val="14"/>
                <w:szCs w:val="14"/>
              </w:rPr>
              <w:t> </w:t>
            </w:r>
            <w:r w:rsidRPr="00B85FA7">
              <w:rPr>
                <w:rFonts w:ascii="宋体" w:hAnsi="宋体" w:cs="宋体" w:hint="eastAsia"/>
                <w:color w:val="000000"/>
                <w:kern w:val="0"/>
                <w:sz w:val="21"/>
              </w:rPr>
              <w:t>自</w:t>
            </w:r>
            <w:r w:rsidR="008411D0" w:rsidRPr="00B85FA7">
              <w:rPr>
                <w:rFonts w:ascii="宋体" w:hAnsi="宋体" w:cs="宋体" w:hint="eastAsia"/>
                <w:color w:val="000000"/>
                <w:kern w:val="0"/>
                <w:sz w:val="21"/>
              </w:rPr>
              <w:t>行车停车场如需要，宜分散布置，总规模一般不少于</w:t>
            </w:r>
            <w:r w:rsidR="008411D0" w:rsidRPr="00B85FA7">
              <w:rPr>
                <w:rFonts w:cs="Times New Roman"/>
                <w:color w:val="000000"/>
                <w:kern w:val="0"/>
                <w:sz w:val="21"/>
              </w:rPr>
              <w:t>1000 m</w:t>
            </w:r>
            <w:r w:rsidR="008411D0" w:rsidRPr="00B85FA7">
              <w:rPr>
                <w:rFonts w:cs="Times New Roman"/>
                <w:color w:val="000000"/>
                <w:kern w:val="0"/>
                <w:sz w:val="21"/>
                <w:vertAlign w:val="superscript"/>
              </w:rPr>
              <w:t>2</w:t>
            </w:r>
            <w:r w:rsidR="008411D0" w:rsidRPr="00B85FA7">
              <w:rPr>
                <w:rFonts w:ascii="宋体" w:hAnsi="宋体" w:cs="宋体" w:hint="eastAsia"/>
                <w:color w:val="000000"/>
                <w:kern w:val="0"/>
                <w:sz w:val="21"/>
              </w:rPr>
              <w:t>。</w:t>
            </w:r>
            <w:r w:rsidR="008411D0" w:rsidRPr="00B85FA7">
              <w:rPr>
                <w:rFonts w:ascii="宋体" w:hAnsi="宋体" w:cs="宋体" w:hint="eastAsia"/>
                <w:color w:val="000000"/>
                <w:kern w:val="0"/>
                <w:sz w:val="22"/>
                <w:szCs w:val="22"/>
              </w:rPr>
              <w:t xml:space="preserve">　</w:t>
            </w:r>
          </w:p>
        </w:tc>
      </w:tr>
    </w:tbl>
    <w:p w:rsidR="002C72DC" w:rsidRPr="00B85FA7" w:rsidRDefault="008411D0">
      <w:pPr>
        <w:widowControl w:val="0"/>
        <w:spacing w:line="240" w:lineRule="auto"/>
        <w:ind w:firstLineChars="0" w:firstLine="0"/>
        <w:rPr>
          <w:rFonts w:cs="宋体"/>
          <w:sz w:val="18"/>
          <w:szCs w:val="18"/>
        </w:rPr>
      </w:pPr>
      <w:r w:rsidRPr="00B85FA7">
        <w:rPr>
          <w:rFonts w:cs="宋体" w:hint="eastAsia"/>
          <w:sz w:val="18"/>
          <w:szCs w:val="18"/>
        </w:rPr>
        <w:t>注：本表中的面积规模指能够满足交通设施功能的建筑面积，不代表设施独立占地的面积。</w:t>
      </w:r>
    </w:p>
    <w:p w:rsidR="002C72DC" w:rsidRPr="00B85FA7" w:rsidRDefault="008411D0" w:rsidP="00C600EF">
      <w:pPr>
        <w:pStyle w:val="4"/>
      </w:pPr>
      <w:r w:rsidRPr="00B85FA7">
        <w:rPr>
          <w:rFonts w:hint="eastAsia"/>
        </w:rPr>
        <w:t>换乘设施用地应靠近轨道站点布置，轨道交通换乘优先次序应为步行</w:t>
      </w:r>
      <w:r w:rsidRPr="00B85FA7">
        <w:t>&gt;</w:t>
      </w:r>
      <w:r w:rsidRPr="00B85FA7">
        <w:rPr>
          <w:rFonts w:hint="eastAsia"/>
        </w:rPr>
        <w:t>自行车</w:t>
      </w:r>
      <w:r w:rsidRPr="00B85FA7">
        <w:t>&gt;</w:t>
      </w:r>
      <w:r w:rsidRPr="00B85FA7">
        <w:rPr>
          <w:rFonts w:hint="eastAsia"/>
        </w:rPr>
        <w:t>地面公交</w:t>
      </w:r>
      <w:r w:rsidRPr="00B85FA7">
        <w:t>&gt;</w:t>
      </w:r>
      <w:r w:rsidRPr="00B85FA7">
        <w:rPr>
          <w:rFonts w:hint="eastAsia"/>
        </w:rPr>
        <w:t>出租汽车</w:t>
      </w:r>
      <w:r w:rsidRPr="00B85FA7">
        <w:t>&gt;</w:t>
      </w:r>
      <w:r w:rsidRPr="00B85FA7">
        <w:rPr>
          <w:rFonts w:hint="eastAsia"/>
        </w:rPr>
        <w:t>小汽车；各类设施与轨道站点出入口距离应符合以下要求：</w:t>
      </w:r>
    </w:p>
    <w:p w:rsidR="002C72DC" w:rsidRPr="00B85FA7" w:rsidRDefault="008411D0" w:rsidP="00E174E9">
      <w:pPr>
        <w:pStyle w:val="5"/>
        <w:numPr>
          <w:ilvl w:val="4"/>
          <w:numId w:val="17"/>
        </w:numPr>
      </w:pPr>
      <w:r w:rsidRPr="00B85FA7">
        <w:rPr>
          <w:rFonts w:hint="eastAsia"/>
        </w:rPr>
        <w:t>自行车停车场与站点出入口的步行距离宜控制在</w:t>
      </w:r>
      <w:r w:rsidRPr="00B85FA7">
        <w:rPr>
          <w:rFonts w:hint="eastAsia"/>
        </w:rPr>
        <w:t xml:space="preserve">50 m </w:t>
      </w:r>
      <w:r w:rsidRPr="00B85FA7">
        <w:rPr>
          <w:rFonts w:hint="eastAsia"/>
        </w:rPr>
        <w:t>以内；</w:t>
      </w:r>
    </w:p>
    <w:p w:rsidR="002C72DC" w:rsidRPr="00B85FA7" w:rsidRDefault="00B92CC3" w:rsidP="00C66342">
      <w:pPr>
        <w:pStyle w:val="5"/>
        <w:numPr>
          <w:ilvl w:val="4"/>
          <w:numId w:val="17"/>
        </w:numPr>
      </w:pPr>
      <w:r w:rsidRPr="00B85FA7">
        <w:rPr>
          <w:rFonts w:hint="eastAsia"/>
        </w:rPr>
        <w:t>公交换乘场站</w:t>
      </w:r>
      <w:r w:rsidR="008411D0" w:rsidRPr="00B85FA7">
        <w:rPr>
          <w:rFonts w:hint="eastAsia"/>
        </w:rPr>
        <w:t>与站点出入口的步行距离宜控制在</w:t>
      </w:r>
      <w:r w:rsidR="008411D0" w:rsidRPr="00B85FA7">
        <w:rPr>
          <w:rFonts w:hint="eastAsia"/>
        </w:rPr>
        <w:t>150</w:t>
      </w:r>
      <w:r w:rsidR="003A2BBB">
        <w:rPr>
          <w:rFonts w:hint="eastAsia"/>
        </w:rPr>
        <w:t xml:space="preserve"> </w:t>
      </w:r>
      <w:r w:rsidR="008411D0" w:rsidRPr="00B85FA7">
        <w:rPr>
          <w:rFonts w:hint="eastAsia"/>
        </w:rPr>
        <w:t>m</w:t>
      </w:r>
      <w:r w:rsidR="008411D0" w:rsidRPr="00B85FA7">
        <w:rPr>
          <w:rFonts w:hint="eastAsia"/>
        </w:rPr>
        <w:t>以内；</w:t>
      </w:r>
    </w:p>
    <w:p w:rsidR="002C72DC" w:rsidRPr="00B85FA7" w:rsidRDefault="008411D0" w:rsidP="00C66342">
      <w:pPr>
        <w:pStyle w:val="5"/>
        <w:numPr>
          <w:ilvl w:val="4"/>
          <w:numId w:val="17"/>
        </w:numPr>
      </w:pPr>
      <w:r w:rsidRPr="00B85FA7">
        <w:rPr>
          <w:rFonts w:hint="eastAsia"/>
        </w:rPr>
        <w:t>出租汽车上下客区与站点出入口的步行距离宜控制在</w:t>
      </w:r>
      <w:r w:rsidRPr="00B85FA7">
        <w:rPr>
          <w:rFonts w:hint="eastAsia"/>
        </w:rPr>
        <w:t>150</w:t>
      </w:r>
      <w:r w:rsidRPr="00B85FA7">
        <w:t xml:space="preserve"> m </w:t>
      </w:r>
      <w:r w:rsidRPr="00B85FA7">
        <w:rPr>
          <w:rFonts w:hint="eastAsia"/>
        </w:rPr>
        <w:t>以内；</w:t>
      </w:r>
    </w:p>
    <w:p w:rsidR="002C72DC" w:rsidRPr="00B85FA7" w:rsidRDefault="008411D0" w:rsidP="00C66342">
      <w:pPr>
        <w:pStyle w:val="5"/>
        <w:numPr>
          <w:ilvl w:val="4"/>
          <w:numId w:val="17"/>
        </w:numPr>
      </w:pPr>
      <w:r w:rsidRPr="00B85FA7">
        <w:rPr>
          <w:rFonts w:hint="eastAsia"/>
        </w:rPr>
        <w:t>小汽车停车场与轨道站点出入口的步行距离宜控制在</w:t>
      </w:r>
      <w:r w:rsidRPr="00B85FA7">
        <w:t xml:space="preserve">200 m </w:t>
      </w:r>
      <w:r w:rsidRPr="00B85FA7">
        <w:rPr>
          <w:rFonts w:hint="eastAsia"/>
        </w:rPr>
        <w:t>以内。</w:t>
      </w:r>
    </w:p>
    <w:p w:rsidR="002C72DC" w:rsidRPr="00B85FA7" w:rsidRDefault="008411D0" w:rsidP="00C600EF">
      <w:pPr>
        <w:pStyle w:val="4"/>
      </w:pPr>
      <w:r w:rsidRPr="00B85FA7">
        <w:rPr>
          <w:rFonts w:hint="eastAsia"/>
        </w:rPr>
        <w:t>鼓励采用综合开发附建形式提供换乘设施，集约利用城市土地并缩短换乘距离。</w:t>
      </w:r>
    </w:p>
    <w:p w:rsidR="002C72DC" w:rsidRPr="00B85FA7" w:rsidRDefault="008411D0" w:rsidP="00C600EF">
      <w:pPr>
        <w:pStyle w:val="4"/>
      </w:pPr>
      <w:r w:rsidRPr="00B85FA7">
        <w:rPr>
          <w:rFonts w:hint="eastAsia"/>
        </w:rPr>
        <w:t>不建议在中心区站点设置</w:t>
      </w:r>
      <w:r w:rsidRPr="00B85FA7">
        <w:t>P</w:t>
      </w:r>
      <w:r w:rsidRPr="00B85FA7">
        <w:rPr>
          <w:rFonts w:hint="eastAsia"/>
        </w:rPr>
        <w:t>＋</w:t>
      </w:r>
      <w:r w:rsidRPr="00B85FA7">
        <w:t>R</w:t>
      </w:r>
      <w:r w:rsidRPr="00B85FA7">
        <w:rPr>
          <w:rFonts w:hint="eastAsia"/>
        </w:rPr>
        <w:t>专用停车场，外围站点需设置时，</w:t>
      </w:r>
      <w:r w:rsidRPr="00B85FA7">
        <w:t>P+R</w:t>
      </w:r>
      <w:r w:rsidRPr="00B85FA7">
        <w:rPr>
          <w:rFonts w:hint="eastAsia"/>
        </w:rPr>
        <w:t>停车场宜共用配建和公共停车场，不宜采用独立占地形式。</w:t>
      </w:r>
    </w:p>
    <w:p w:rsidR="002C72DC" w:rsidRPr="00B85FA7" w:rsidRDefault="008411D0" w:rsidP="0085732D">
      <w:pPr>
        <w:pStyle w:val="2"/>
        <w:keepNext w:val="0"/>
        <w:keepLines w:val="0"/>
        <w:ind w:left="-238" w:firstLine="482"/>
      </w:pPr>
      <w:bookmarkStart w:id="60" w:name="_Toc435545793"/>
      <w:r w:rsidRPr="00B85FA7">
        <w:rPr>
          <w:rFonts w:hint="eastAsia"/>
        </w:rPr>
        <w:t>步行系统规划引导</w:t>
      </w:r>
      <w:bookmarkEnd w:id="60"/>
    </w:p>
    <w:p w:rsidR="009836D6" w:rsidRPr="00B85FA7" w:rsidRDefault="008411D0" w:rsidP="00BD71C1">
      <w:pPr>
        <w:pStyle w:val="31"/>
      </w:pPr>
      <w:r w:rsidRPr="00B85FA7">
        <w:rPr>
          <w:rFonts w:hint="eastAsia"/>
        </w:rPr>
        <w:t>轨道影响区应通过规划建设高密度、连续性的步行系统，整合周边商业服务业设施及绿地广场等，促进轨道交通便捷集散，拓展轨道站点的服务范围，提升城市公共空间品质。</w:t>
      </w:r>
    </w:p>
    <w:p w:rsidR="002C72DC" w:rsidRPr="00B85FA7" w:rsidRDefault="008411D0" w:rsidP="00BD71C1">
      <w:pPr>
        <w:pStyle w:val="31"/>
      </w:pPr>
      <w:r w:rsidRPr="00B85FA7">
        <w:rPr>
          <w:rFonts w:hint="eastAsia"/>
        </w:rPr>
        <w:t>轨道影响区步行系统应满足</w:t>
      </w:r>
      <w:r w:rsidRPr="00B85FA7">
        <w:rPr>
          <w:rFonts w:hint="eastAsia"/>
        </w:rPr>
        <w:t>24</w:t>
      </w:r>
      <w:r w:rsidRPr="00B85FA7">
        <w:rPr>
          <w:rFonts w:hint="eastAsia"/>
        </w:rPr>
        <w:t>小时开放的使用需求。</w:t>
      </w:r>
    </w:p>
    <w:p w:rsidR="002C72DC" w:rsidRPr="00B85FA7" w:rsidRDefault="008411D0" w:rsidP="00232579">
      <w:pPr>
        <w:pStyle w:val="31"/>
      </w:pPr>
      <w:r w:rsidRPr="00B85FA7">
        <w:rPr>
          <w:rFonts w:hint="eastAsia"/>
        </w:rPr>
        <w:t>轨道影响区步行系统的规划内容应反映为各地块的城市设计控制条件。</w:t>
      </w:r>
    </w:p>
    <w:p w:rsidR="002C72DC" w:rsidRPr="00B85FA7" w:rsidRDefault="008411D0" w:rsidP="000057A0">
      <w:pPr>
        <w:pStyle w:val="31"/>
      </w:pPr>
      <w:r w:rsidRPr="00B85FA7">
        <w:rPr>
          <w:rFonts w:hint="eastAsia"/>
        </w:rPr>
        <w:t>轨道影响区步行路网密度宜为机动车路网密度的</w:t>
      </w:r>
      <w:r w:rsidRPr="00B85FA7">
        <w:t>2</w:t>
      </w:r>
      <w:r w:rsidRPr="00B85FA7">
        <w:rPr>
          <w:rFonts w:hint="eastAsia"/>
        </w:rPr>
        <w:t>倍。独立设置的步行道路人行空间宽度一般应</w:t>
      </w:r>
      <w:r w:rsidR="009836D6" w:rsidRPr="00B85FA7">
        <w:rPr>
          <w:rFonts w:hint="eastAsia"/>
        </w:rPr>
        <w:t>大于</w:t>
      </w:r>
      <w:r w:rsidRPr="00B85FA7">
        <w:t>3 m</w:t>
      </w:r>
      <w:r w:rsidRPr="00B85FA7">
        <w:rPr>
          <w:rFonts w:hint="eastAsia"/>
        </w:rPr>
        <w:t>。</w:t>
      </w:r>
    </w:p>
    <w:p w:rsidR="002C72DC" w:rsidRPr="00B85FA7" w:rsidRDefault="00291A3A" w:rsidP="003A2BBB">
      <w:pPr>
        <w:pStyle w:val="af3"/>
        <w:ind w:firstLineChars="0" w:firstLine="0"/>
        <w:jc w:val="center"/>
        <w:rPr>
          <w:color w:val="FF0000"/>
        </w:rPr>
      </w:pPr>
      <w:r w:rsidRPr="00B85FA7">
        <w:rPr>
          <w:noProof/>
          <w:color w:val="FF0000"/>
        </w:rPr>
        <w:lastRenderedPageBreak/>
        <w:drawing>
          <wp:inline distT="0" distB="0" distL="0" distR="0" wp14:anchorId="7BB511EB" wp14:editId="6C7D70C9">
            <wp:extent cx="4739640" cy="2743200"/>
            <wp:effectExtent l="0" t="0" r="3810" b="0"/>
            <wp:docPr id="1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39640" cy="2743200"/>
                    </a:xfrm>
                    <a:prstGeom prst="rect">
                      <a:avLst/>
                    </a:prstGeom>
                    <a:noFill/>
                    <a:ln>
                      <a:noFill/>
                    </a:ln>
                  </pic:spPr>
                </pic:pic>
              </a:graphicData>
            </a:graphic>
          </wp:inline>
        </w:drawing>
      </w:r>
    </w:p>
    <w:p w:rsidR="002C72DC" w:rsidRPr="00B85FA7" w:rsidRDefault="003A2BBB">
      <w:pPr>
        <w:pStyle w:val="af3"/>
        <w:ind w:left="227" w:firstLineChars="0" w:firstLine="0"/>
        <w:rPr>
          <w:b w:val="0"/>
          <w:sz w:val="21"/>
          <w:szCs w:val="21"/>
        </w:rPr>
      </w:pPr>
      <w:r>
        <w:rPr>
          <w:rFonts w:hint="eastAsia"/>
          <w:b w:val="0"/>
          <w:sz w:val="21"/>
          <w:szCs w:val="21"/>
        </w:rPr>
        <w:t xml:space="preserve"> </w:t>
      </w:r>
      <w:r w:rsidR="008411D0" w:rsidRPr="00B85FA7">
        <w:rPr>
          <w:rFonts w:hint="eastAsia"/>
          <w:b w:val="0"/>
          <w:sz w:val="21"/>
          <w:szCs w:val="21"/>
        </w:rPr>
        <w:t>注</w:t>
      </w:r>
      <w:r w:rsidR="008411D0" w:rsidRPr="00B85FA7">
        <w:rPr>
          <w:b w:val="0"/>
          <w:sz w:val="21"/>
          <w:szCs w:val="21"/>
        </w:rPr>
        <w:t>：</w:t>
      </w:r>
      <w:proofErr w:type="gramStart"/>
      <w:r w:rsidR="008411D0" w:rsidRPr="00B85FA7">
        <w:rPr>
          <w:rFonts w:hint="eastAsia"/>
          <w:b w:val="0"/>
          <w:sz w:val="21"/>
          <w:szCs w:val="21"/>
        </w:rPr>
        <w:t>图中兰线表示</w:t>
      </w:r>
      <w:proofErr w:type="gramEnd"/>
      <w:r w:rsidR="008411D0" w:rsidRPr="00B85FA7">
        <w:rPr>
          <w:rFonts w:hint="eastAsia"/>
          <w:b w:val="0"/>
          <w:sz w:val="21"/>
          <w:szCs w:val="21"/>
        </w:rPr>
        <w:t>连通的步行和自行车道，黄线表示机动车道</w:t>
      </w:r>
      <w:r w:rsidR="005C413D" w:rsidRPr="00B85FA7">
        <w:rPr>
          <w:rFonts w:hint="eastAsia"/>
          <w:b w:val="0"/>
          <w:sz w:val="21"/>
          <w:szCs w:val="21"/>
        </w:rPr>
        <w:t>。</w:t>
      </w:r>
    </w:p>
    <w:p w:rsidR="002C72DC" w:rsidRPr="00B85FA7" w:rsidRDefault="008411D0">
      <w:pPr>
        <w:pStyle w:val="a"/>
      </w:pPr>
      <w:r w:rsidRPr="00B85FA7">
        <w:rPr>
          <w:rFonts w:hint="eastAsia"/>
        </w:rPr>
        <w:t>轨道站点影响区路网结构</w:t>
      </w:r>
    </w:p>
    <w:p w:rsidR="002C72DC" w:rsidRPr="00B85FA7" w:rsidRDefault="008411D0" w:rsidP="00D23FDD">
      <w:pPr>
        <w:pStyle w:val="31"/>
      </w:pPr>
      <w:r w:rsidRPr="00B85FA7">
        <w:rPr>
          <w:rFonts w:hint="eastAsia"/>
        </w:rPr>
        <w:t>在商业商务中心地区，鼓励通过立体过街设施，形成人车分行的步行区域，在步行区域内合并、减少各用地单元的机动车出入口。</w:t>
      </w:r>
    </w:p>
    <w:p w:rsidR="006123C5" w:rsidRPr="00B85FA7" w:rsidRDefault="006123C5">
      <w:pPr>
        <w:pStyle w:val="af3"/>
        <w:ind w:firstLineChars="0" w:firstLine="0"/>
        <w:jc w:val="center"/>
      </w:pPr>
      <w:r w:rsidRPr="00B85FA7">
        <w:rPr>
          <w:rFonts w:hint="eastAsia"/>
          <w:noProof/>
        </w:rPr>
        <w:drawing>
          <wp:inline distT="0" distB="0" distL="0" distR="0" wp14:anchorId="235CB825" wp14:editId="37113749">
            <wp:extent cx="4875530" cy="3782769"/>
            <wp:effectExtent l="0" t="0" r="127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秀山站站点核心区地下空间布局图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75734" cy="3782927"/>
                    </a:xfrm>
                    <a:prstGeom prst="rect">
                      <a:avLst/>
                    </a:prstGeom>
                  </pic:spPr>
                </pic:pic>
              </a:graphicData>
            </a:graphic>
          </wp:inline>
        </w:drawing>
      </w:r>
    </w:p>
    <w:p w:rsidR="002C72DC" w:rsidRPr="00B85FA7" w:rsidRDefault="008411D0">
      <w:pPr>
        <w:pStyle w:val="a"/>
      </w:pPr>
      <w:r w:rsidRPr="00B85FA7">
        <w:rPr>
          <w:rFonts w:hint="eastAsia"/>
        </w:rPr>
        <w:t>设置地下通道穿越道路，结合地下商业开发服务相邻街区</w:t>
      </w:r>
    </w:p>
    <w:p w:rsidR="007C6673" w:rsidRPr="00B85FA7" w:rsidRDefault="008411D0" w:rsidP="00D23FDD">
      <w:pPr>
        <w:pStyle w:val="31"/>
      </w:pPr>
      <w:r w:rsidRPr="00B85FA7">
        <w:rPr>
          <w:rFonts w:hint="eastAsia"/>
        </w:rPr>
        <w:lastRenderedPageBreak/>
        <w:t>鼓励规划绿道系统衔接居住小区级公建、中小学用地、商业设施和公园绿地，形成环境优先的步行区域</w:t>
      </w:r>
      <w:r w:rsidR="007C6673" w:rsidRPr="00B85FA7">
        <w:rPr>
          <w:rFonts w:hint="eastAsia"/>
        </w:rPr>
        <w:t>。</w:t>
      </w:r>
    </w:p>
    <w:p w:rsidR="002C72DC" w:rsidRPr="00B85FA7" w:rsidRDefault="008411D0" w:rsidP="00D23FDD">
      <w:pPr>
        <w:pStyle w:val="31"/>
      </w:pPr>
      <w:r w:rsidRPr="00B85FA7">
        <w:rPr>
          <w:rFonts w:hint="eastAsia"/>
        </w:rPr>
        <w:t>在既有建成区，鼓励结合</w:t>
      </w:r>
      <w:r w:rsidR="007C6673" w:rsidRPr="00B85FA7">
        <w:rPr>
          <w:rFonts w:hint="eastAsia"/>
        </w:rPr>
        <w:t>封闭大院</w:t>
      </w:r>
      <w:r w:rsidRPr="00B85FA7">
        <w:rPr>
          <w:rFonts w:hint="eastAsia"/>
        </w:rPr>
        <w:t>及</w:t>
      </w:r>
      <w:r w:rsidR="007C6673" w:rsidRPr="00B85FA7">
        <w:rPr>
          <w:rFonts w:hint="eastAsia"/>
        </w:rPr>
        <w:t>大型居住区</w:t>
      </w:r>
      <w:r w:rsidRPr="00B85FA7">
        <w:rPr>
          <w:rFonts w:hint="eastAsia"/>
        </w:rPr>
        <w:t>内部改造，增加步行通道及</w:t>
      </w:r>
      <w:r w:rsidR="007C6673" w:rsidRPr="00B85FA7">
        <w:rPr>
          <w:rFonts w:hint="eastAsia"/>
        </w:rPr>
        <w:t>出入</w:t>
      </w:r>
      <w:r w:rsidRPr="00B85FA7">
        <w:rPr>
          <w:rFonts w:hint="eastAsia"/>
        </w:rPr>
        <w:t>口，提升步行系统密度。</w:t>
      </w:r>
    </w:p>
    <w:p w:rsidR="002C72DC" w:rsidRPr="00B85FA7" w:rsidRDefault="008411D0" w:rsidP="00D23FDD">
      <w:pPr>
        <w:pStyle w:val="31"/>
      </w:pPr>
      <w:r w:rsidRPr="00B85FA7">
        <w:rPr>
          <w:rFonts w:hint="eastAsia"/>
        </w:rPr>
        <w:t>各类型轨道站点公共步行系统规划指引应符合以下原则：</w:t>
      </w:r>
    </w:p>
    <w:p w:rsidR="009568DB" w:rsidRPr="00B85FA7" w:rsidRDefault="008411D0" w:rsidP="00E174E9">
      <w:pPr>
        <w:pStyle w:val="4"/>
        <w:numPr>
          <w:ilvl w:val="3"/>
          <w:numId w:val="51"/>
        </w:numPr>
      </w:pPr>
      <w:r w:rsidRPr="00B85FA7">
        <w:rPr>
          <w:rFonts w:hint="eastAsia"/>
        </w:rPr>
        <w:t>枢纽站（</w:t>
      </w:r>
      <w:r w:rsidRPr="00B85FA7">
        <w:t>A</w:t>
      </w:r>
      <w:r w:rsidRPr="00B85FA7">
        <w:rPr>
          <w:rFonts w:hint="eastAsia"/>
        </w:rPr>
        <w:t>类）</w:t>
      </w:r>
      <w:r w:rsidR="0065701F" w:rsidRPr="00B85FA7">
        <w:rPr>
          <w:rFonts w:hint="eastAsia"/>
        </w:rPr>
        <w:t>。</w:t>
      </w:r>
    </w:p>
    <w:p w:rsidR="009568DB" w:rsidRPr="00B85FA7" w:rsidRDefault="008411D0" w:rsidP="00E174E9">
      <w:pPr>
        <w:pStyle w:val="5"/>
        <w:numPr>
          <w:ilvl w:val="4"/>
          <w:numId w:val="10"/>
        </w:numPr>
      </w:pPr>
      <w:r w:rsidRPr="00B85FA7">
        <w:rPr>
          <w:rFonts w:hint="eastAsia"/>
        </w:rPr>
        <w:t>可设置交通立体换乘平台、换乘大厅或广场，连接轨道站点出入口与对外交通出入口。</w:t>
      </w:r>
    </w:p>
    <w:p w:rsidR="009568DB" w:rsidRPr="00B85FA7" w:rsidRDefault="008411D0" w:rsidP="001364D6">
      <w:pPr>
        <w:pStyle w:val="5"/>
        <w:numPr>
          <w:ilvl w:val="4"/>
          <w:numId w:val="10"/>
        </w:numPr>
      </w:pPr>
      <w:r w:rsidRPr="00B85FA7">
        <w:rPr>
          <w:rFonts w:hint="eastAsia"/>
        </w:rPr>
        <w:t>要根据交通需求预测，提供轨道站点与其他交通方式换乘的公共通道，形成便捷的多方式换乘体系；换乘空间应实现全天候</w:t>
      </w:r>
      <w:r w:rsidR="00F6242E" w:rsidRPr="00B85FA7">
        <w:rPr>
          <w:rFonts w:hint="eastAsia"/>
        </w:rPr>
        <w:t>服务</w:t>
      </w:r>
      <w:r w:rsidRPr="00B85FA7">
        <w:rPr>
          <w:rFonts w:hint="eastAsia"/>
        </w:rPr>
        <w:t>、人车分行与无障碍。</w:t>
      </w:r>
    </w:p>
    <w:p w:rsidR="002C72DC" w:rsidRPr="00B85FA7" w:rsidRDefault="008411D0" w:rsidP="000C74C3">
      <w:pPr>
        <w:pStyle w:val="5"/>
      </w:pPr>
      <w:r w:rsidRPr="00B85FA7">
        <w:rPr>
          <w:rFonts w:hint="eastAsia"/>
        </w:rPr>
        <w:t>鼓励设置跨越铁路线路的人行通道连接线路两侧的交通功能和公共空间。</w:t>
      </w:r>
    </w:p>
    <w:p w:rsidR="00A41FBB" w:rsidRPr="00B85FA7" w:rsidRDefault="00A41FBB">
      <w:pPr>
        <w:pStyle w:val="af3"/>
        <w:ind w:firstLineChars="0" w:firstLine="0"/>
        <w:jc w:val="center"/>
      </w:pPr>
      <w:r w:rsidRPr="00B85FA7">
        <w:rPr>
          <w:rFonts w:hint="eastAsia"/>
          <w:noProof/>
        </w:rPr>
        <w:drawing>
          <wp:inline distT="0" distB="0" distL="0" distR="0" wp14:anchorId="2A82CF2D" wp14:editId="7752BB26">
            <wp:extent cx="3065696" cy="3934014"/>
            <wp:effectExtent l="0" t="0" r="190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6-9.jpg"/>
                    <pic:cNvPicPr/>
                  </pic:nvPicPr>
                  <pic:blipFill>
                    <a:blip r:embed="rId30">
                      <a:extLst>
                        <a:ext uri="{28A0092B-C50C-407E-A947-70E740481C1C}">
                          <a14:useLocalDpi xmlns:a14="http://schemas.microsoft.com/office/drawing/2010/main" val="0"/>
                        </a:ext>
                      </a:extLst>
                    </a:blip>
                    <a:stretch>
                      <a:fillRect/>
                    </a:stretch>
                  </pic:blipFill>
                  <pic:spPr>
                    <a:xfrm>
                      <a:off x="0" y="0"/>
                      <a:ext cx="3082660" cy="3955783"/>
                    </a:xfrm>
                    <a:prstGeom prst="rect">
                      <a:avLst/>
                    </a:prstGeom>
                  </pic:spPr>
                </pic:pic>
              </a:graphicData>
            </a:graphic>
          </wp:inline>
        </w:drawing>
      </w:r>
    </w:p>
    <w:p w:rsidR="002C72DC" w:rsidRPr="00B85FA7" w:rsidRDefault="008411D0">
      <w:pPr>
        <w:pStyle w:val="a"/>
      </w:pPr>
      <w:r w:rsidRPr="00B85FA7">
        <w:rPr>
          <w:rFonts w:hint="eastAsia"/>
        </w:rPr>
        <w:t>通过公共廊道连接铁路车站两侧及周边交通设施实现多方式换乘</w:t>
      </w:r>
    </w:p>
    <w:p w:rsidR="009568DB" w:rsidRPr="00B85FA7" w:rsidRDefault="008411D0" w:rsidP="00C600EF">
      <w:pPr>
        <w:pStyle w:val="4"/>
      </w:pPr>
      <w:r w:rsidRPr="00B85FA7">
        <w:rPr>
          <w:rFonts w:hint="eastAsia"/>
        </w:rPr>
        <w:lastRenderedPageBreak/>
        <w:t>中心站（</w:t>
      </w:r>
      <w:r w:rsidRPr="00B85FA7">
        <w:t>B</w:t>
      </w:r>
      <w:r w:rsidRPr="00B85FA7">
        <w:rPr>
          <w:rFonts w:hint="eastAsia"/>
        </w:rPr>
        <w:t>类）</w:t>
      </w:r>
      <w:r w:rsidR="009568DB" w:rsidRPr="00B85FA7">
        <w:rPr>
          <w:rFonts w:hint="eastAsia"/>
        </w:rPr>
        <w:t>。</w:t>
      </w:r>
    </w:p>
    <w:p w:rsidR="009568DB" w:rsidRPr="00B85FA7" w:rsidRDefault="008411D0" w:rsidP="00E174E9">
      <w:pPr>
        <w:pStyle w:val="5"/>
        <w:numPr>
          <w:ilvl w:val="4"/>
          <w:numId w:val="11"/>
        </w:numPr>
      </w:pPr>
      <w:r w:rsidRPr="00B85FA7">
        <w:rPr>
          <w:rFonts w:hint="eastAsia"/>
        </w:rPr>
        <w:t>鼓励规划设置一体化的立体公共步行系统，在方便换乘的同时，扩大轨道交通的服务范围。</w:t>
      </w:r>
    </w:p>
    <w:p w:rsidR="009568DB" w:rsidRPr="00B85FA7" w:rsidRDefault="008411D0" w:rsidP="000C74C3">
      <w:pPr>
        <w:pStyle w:val="5"/>
      </w:pPr>
      <w:r w:rsidRPr="00B85FA7">
        <w:rPr>
          <w:rFonts w:hint="eastAsia"/>
        </w:rPr>
        <w:t>城市核心地区形成站点群时，应在站点之间设置地下通道、地下街，结合商业开发，形成连贯的商业步行系统，实现多站间换乘。</w:t>
      </w:r>
    </w:p>
    <w:p w:rsidR="009568DB" w:rsidRPr="00B85FA7" w:rsidRDefault="008411D0" w:rsidP="000C74C3">
      <w:pPr>
        <w:pStyle w:val="5"/>
      </w:pPr>
      <w:r w:rsidRPr="00B85FA7">
        <w:rPr>
          <w:rFonts w:hint="eastAsia"/>
        </w:rPr>
        <w:t>在城市其他地区，鼓励结合站点及商业开发，建设地下步行系统穿越城市道路，使轨道服务延伸到相邻街区。</w:t>
      </w:r>
    </w:p>
    <w:p w:rsidR="002C72DC" w:rsidRPr="00B85FA7" w:rsidRDefault="008411D0" w:rsidP="000C74C3">
      <w:pPr>
        <w:pStyle w:val="5"/>
      </w:pPr>
      <w:r w:rsidRPr="00B85FA7">
        <w:rPr>
          <w:rFonts w:hint="eastAsia"/>
        </w:rPr>
        <w:t>鼓励结合轨道影响区开发设置二层连廊系统跨越城市道路，拓展轨道服务范围；设置二层连廊系统时，仍需保证地面步行系统的完整与畅通。</w:t>
      </w:r>
    </w:p>
    <w:p w:rsidR="002C72DC" w:rsidRPr="00B85FA7" w:rsidRDefault="00291A3A">
      <w:pPr>
        <w:pStyle w:val="af3"/>
        <w:ind w:firstLineChars="0" w:firstLine="0"/>
        <w:jc w:val="center"/>
      </w:pPr>
      <w:r w:rsidRPr="00B85FA7">
        <w:rPr>
          <w:noProof/>
        </w:rPr>
        <w:drawing>
          <wp:inline distT="0" distB="0" distL="0" distR="0" wp14:anchorId="3BE29DC9" wp14:editId="7FCC00F5">
            <wp:extent cx="3052381" cy="3336123"/>
            <wp:effectExtent l="0" t="0" r="0" b="0"/>
            <wp:docPr id="19" name="图片框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19"/>
                    <pic:cNvPicPr>
                      <a:picLocks noChangeAspect="1" noChangeArrowheads="1"/>
                    </pic:cNvPicPr>
                  </pic:nvPicPr>
                  <pic:blipFill>
                    <a:blip r:embed="rId31">
                      <a:extLst>
                        <a:ext uri="{28A0092B-C50C-407E-A947-70E740481C1C}">
                          <a14:useLocalDpi xmlns:a14="http://schemas.microsoft.com/office/drawing/2010/main" val="0"/>
                        </a:ext>
                      </a:extLst>
                    </a:blip>
                    <a:srcRect l="816" t="1617" r="39262" b="1086"/>
                    <a:stretch>
                      <a:fillRect/>
                    </a:stretch>
                  </pic:blipFill>
                  <pic:spPr bwMode="auto">
                    <a:xfrm>
                      <a:off x="0" y="0"/>
                      <a:ext cx="3064862" cy="3349765"/>
                    </a:xfrm>
                    <a:prstGeom prst="rect">
                      <a:avLst/>
                    </a:prstGeom>
                    <a:noFill/>
                    <a:ln>
                      <a:noFill/>
                    </a:ln>
                  </pic:spPr>
                </pic:pic>
              </a:graphicData>
            </a:graphic>
          </wp:inline>
        </w:drawing>
      </w:r>
    </w:p>
    <w:p w:rsidR="002C72DC" w:rsidRPr="00B85FA7" w:rsidRDefault="008411D0">
      <w:pPr>
        <w:pStyle w:val="a"/>
      </w:pPr>
      <w:r w:rsidRPr="00B85FA7">
        <w:rPr>
          <w:rFonts w:hint="eastAsia"/>
        </w:rPr>
        <w:t>结合轨道站点的地下街开发扩大站点服务范围</w:t>
      </w:r>
    </w:p>
    <w:p w:rsidR="002C72DC" w:rsidRPr="00B85FA7" w:rsidRDefault="00291A3A" w:rsidP="00775682">
      <w:pPr>
        <w:pStyle w:val="af3"/>
        <w:ind w:firstLineChars="0" w:firstLine="0"/>
        <w:jc w:val="center"/>
      </w:pPr>
      <w:r w:rsidRPr="00B85FA7">
        <w:rPr>
          <w:noProof/>
        </w:rPr>
        <w:lastRenderedPageBreak/>
        <w:drawing>
          <wp:inline distT="0" distB="0" distL="0" distR="0" wp14:anchorId="504DA825" wp14:editId="4E387812">
            <wp:extent cx="4196270" cy="2864761"/>
            <wp:effectExtent l="0" t="0" r="0" b="0"/>
            <wp:docPr id="20" name="图片框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38439" cy="2893550"/>
                    </a:xfrm>
                    <a:prstGeom prst="rect">
                      <a:avLst/>
                    </a:prstGeom>
                    <a:noFill/>
                    <a:ln>
                      <a:noFill/>
                    </a:ln>
                  </pic:spPr>
                </pic:pic>
              </a:graphicData>
            </a:graphic>
          </wp:inline>
        </w:drawing>
      </w:r>
    </w:p>
    <w:p w:rsidR="002C72DC" w:rsidRPr="00B85FA7" w:rsidRDefault="008411D0" w:rsidP="003A2BBB">
      <w:pPr>
        <w:pStyle w:val="a"/>
      </w:pPr>
      <w:r w:rsidRPr="00B85FA7">
        <w:rPr>
          <w:rFonts w:hint="eastAsia"/>
        </w:rPr>
        <w:t>架设二层连廊延伸轨道站点服务范围</w:t>
      </w:r>
      <w:r w:rsidR="009568DB" w:rsidRPr="00B85FA7">
        <w:rPr>
          <w:rFonts w:hint="eastAsia"/>
        </w:rPr>
        <w:t>、</w:t>
      </w:r>
      <w:r w:rsidRPr="00B85FA7">
        <w:rPr>
          <w:rFonts w:hint="eastAsia"/>
        </w:rPr>
        <w:t>优化步行环境</w:t>
      </w:r>
    </w:p>
    <w:p w:rsidR="009568DB" w:rsidRPr="00B85FA7" w:rsidRDefault="008411D0" w:rsidP="00C600EF">
      <w:pPr>
        <w:pStyle w:val="4"/>
      </w:pPr>
      <w:r w:rsidRPr="00B85FA7">
        <w:rPr>
          <w:rFonts w:hint="eastAsia"/>
        </w:rPr>
        <w:t>组团站（</w:t>
      </w:r>
      <w:r w:rsidRPr="00B85FA7">
        <w:t>C</w:t>
      </w:r>
      <w:r w:rsidRPr="00B85FA7">
        <w:rPr>
          <w:rFonts w:hint="eastAsia"/>
        </w:rPr>
        <w:t>类）</w:t>
      </w:r>
      <w:r w:rsidR="009568DB" w:rsidRPr="00B85FA7">
        <w:rPr>
          <w:rFonts w:hint="eastAsia"/>
        </w:rPr>
        <w:t>。</w:t>
      </w:r>
    </w:p>
    <w:p w:rsidR="009568DB" w:rsidRPr="00B85FA7" w:rsidRDefault="008411D0" w:rsidP="00E174E9">
      <w:pPr>
        <w:pStyle w:val="5"/>
        <w:numPr>
          <w:ilvl w:val="4"/>
          <w:numId w:val="18"/>
        </w:numPr>
      </w:pPr>
      <w:r w:rsidRPr="00B85FA7">
        <w:rPr>
          <w:rFonts w:hint="eastAsia"/>
        </w:rPr>
        <w:t>鼓励以轨道站点为核心，根据人流主要集散方向设置立体步行系统，连接站点出入通道与周边主要建筑，并结合该系统，在主要道路交叉口设置立体人行过街设施。</w:t>
      </w:r>
    </w:p>
    <w:p w:rsidR="002C72DC" w:rsidRPr="00B85FA7" w:rsidRDefault="008411D0" w:rsidP="00315A77">
      <w:pPr>
        <w:pStyle w:val="5"/>
      </w:pPr>
      <w:r w:rsidRPr="00B85FA7">
        <w:rPr>
          <w:rFonts w:hint="eastAsia"/>
        </w:rPr>
        <w:t>鼓励结合立体步行系统适当安排服务于组团的商业服务设施。</w:t>
      </w:r>
    </w:p>
    <w:p w:rsidR="00315A77" w:rsidRPr="00B85FA7" w:rsidRDefault="00315A77">
      <w:pPr>
        <w:pStyle w:val="af3"/>
        <w:ind w:firstLineChars="0" w:firstLine="0"/>
        <w:jc w:val="center"/>
      </w:pPr>
      <w:r w:rsidRPr="00B85FA7">
        <w:rPr>
          <w:noProof/>
        </w:rPr>
        <w:drawing>
          <wp:inline distT="0" distB="0" distL="0" distR="0" wp14:anchorId="67632234" wp14:editId="612412A9">
            <wp:extent cx="4570486" cy="3165155"/>
            <wp:effectExtent l="0" t="0" r="190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14170" t="5046" r="-1" b="3130"/>
                    <a:stretch/>
                  </pic:blipFill>
                  <pic:spPr bwMode="auto">
                    <a:xfrm>
                      <a:off x="0" y="0"/>
                      <a:ext cx="4635832" cy="3210409"/>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proofErr w:type="gramStart"/>
      <w:r w:rsidRPr="00B85FA7">
        <w:rPr>
          <w:rFonts w:hint="eastAsia"/>
        </w:rPr>
        <w:t>组团站</w:t>
      </w:r>
      <w:proofErr w:type="gramEnd"/>
      <w:r w:rsidRPr="00B85FA7">
        <w:rPr>
          <w:rFonts w:hint="eastAsia"/>
        </w:rPr>
        <w:t>周边步行骨干系统示例</w:t>
      </w:r>
    </w:p>
    <w:p w:rsidR="009568DB" w:rsidRPr="00B85FA7" w:rsidRDefault="008411D0" w:rsidP="00A810FD">
      <w:pPr>
        <w:pStyle w:val="4"/>
      </w:pPr>
      <w:r w:rsidRPr="00B85FA7">
        <w:rPr>
          <w:rFonts w:hint="eastAsia"/>
        </w:rPr>
        <w:lastRenderedPageBreak/>
        <w:t>特殊控制站（</w:t>
      </w:r>
      <w:r w:rsidRPr="00B85FA7">
        <w:t>D</w:t>
      </w:r>
      <w:r w:rsidRPr="00B85FA7">
        <w:rPr>
          <w:rFonts w:hint="eastAsia"/>
        </w:rPr>
        <w:t>类）</w:t>
      </w:r>
      <w:r w:rsidR="009568DB" w:rsidRPr="00B85FA7">
        <w:rPr>
          <w:rFonts w:hint="eastAsia"/>
        </w:rPr>
        <w:t>。</w:t>
      </w:r>
      <w:r w:rsidRPr="00B85FA7">
        <w:rPr>
          <w:rFonts w:hint="eastAsia"/>
        </w:rPr>
        <w:t>建议结合绿道设置步行系统，引导片区活动优先使用轨道交通作为到发交通方式。</w:t>
      </w:r>
    </w:p>
    <w:p w:rsidR="002C72DC" w:rsidRPr="00B85FA7" w:rsidRDefault="008411D0" w:rsidP="00A810FD">
      <w:pPr>
        <w:pStyle w:val="4"/>
      </w:pPr>
      <w:r w:rsidRPr="00B85FA7">
        <w:rPr>
          <w:rFonts w:hint="eastAsia"/>
        </w:rPr>
        <w:t>端头站（</w:t>
      </w:r>
      <w:r w:rsidRPr="00B85FA7">
        <w:rPr>
          <w:rFonts w:hint="eastAsia"/>
        </w:rPr>
        <w:t>E</w:t>
      </w:r>
      <w:r w:rsidRPr="00B85FA7">
        <w:rPr>
          <w:rFonts w:hint="eastAsia"/>
        </w:rPr>
        <w:t>类）</w:t>
      </w:r>
      <w:r w:rsidR="009568DB" w:rsidRPr="00B85FA7">
        <w:rPr>
          <w:rFonts w:hint="eastAsia"/>
        </w:rPr>
        <w:t>。</w:t>
      </w:r>
      <w:r w:rsidRPr="00B85FA7">
        <w:rPr>
          <w:rFonts w:hint="eastAsia"/>
        </w:rPr>
        <w:t>建议结合上盖开发，通过步行廊道连接口连接上盖平台或交通换乘平台，并据此设置站点与周边物业、交通换乘点及外围联系的出入口。</w:t>
      </w:r>
    </w:p>
    <w:p w:rsidR="00315A77" w:rsidRPr="00B85FA7" w:rsidRDefault="00315A77">
      <w:pPr>
        <w:pStyle w:val="af3"/>
        <w:ind w:firstLineChars="0" w:firstLine="0"/>
        <w:jc w:val="center"/>
      </w:pPr>
      <w:r w:rsidRPr="00B85FA7">
        <w:rPr>
          <w:noProof/>
        </w:rPr>
        <w:drawing>
          <wp:inline distT="0" distB="0" distL="0" distR="0" wp14:anchorId="3FECBB35" wp14:editId="77D6A39D">
            <wp:extent cx="4546756" cy="2186604"/>
            <wp:effectExtent l="0" t="0" r="635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93421" cy="2209046"/>
                    </a:xfrm>
                    <a:prstGeom prst="rect">
                      <a:avLst/>
                    </a:prstGeom>
                    <a:noFill/>
                  </pic:spPr>
                </pic:pic>
              </a:graphicData>
            </a:graphic>
          </wp:inline>
        </w:drawing>
      </w:r>
    </w:p>
    <w:p w:rsidR="002C72DC" w:rsidRPr="00B85FA7" w:rsidRDefault="008411D0">
      <w:pPr>
        <w:pStyle w:val="a"/>
      </w:pPr>
      <w:r w:rsidRPr="00B85FA7">
        <w:rPr>
          <w:rFonts w:hint="eastAsia"/>
        </w:rPr>
        <w:t>端头站周边步行骨干系统示例</w:t>
      </w:r>
    </w:p>
    <w:p w:rsidR="002C72DC" w:rsidRPr="00B85FA7" w:rsidRDefault="008411D0" w:rsidP="00A810FD">
      <w:pPr>
        <w:pStyle w:val="4"/>
      </w:pPr>
      <w:r w:rsidRPr="00B85FA7">
        <w:rPr>
          <w:rFonts w:hint="eastAsia"/>
        </w:rPr>
        <w:t>一般站（</w:t>
      </w:r>
      <w:r w:rsidRPr="00B85FA7">
        <w:t>F</w:t>
      </w:r>
      <w:r w:rsidRPr="00B85FA7">
        <w:rPr>
          <w:rFonts w:hint="eastAsia"/>
        </w:rPr>
        <w:t>类）</w:t>
      </w:r>
      <w:r w:rsidR="009568DB" w:rsidRPr="00B85FA7">
        <w:rPr>
          <w:rFonts w:hint="eastAsia"/>
        </w:rPr>
        <w:t>。</w:t>
      </w:r>
      <w:r w:rsidRPr="00B85FA7">
        <w:rPr>
          <w:rFonts w:hint="eastAsia"/>
        </w:rPr>
        <w:t>鼓励建立二层步行连廊拓展服务范围，通过设置连续的二层步行通道、地下过街通道等连接建筑及交通换乘设施</w:t>
      </w:r>
      <w:r w:rsidR="00F4402A" w:rsidRPr="00B85FA7">
        <w:rPr>
          <w:rFonts w:hint="eastAsia"/>
        </w:rPr>
        <w:t>，并</w:t>
      </w:r>
      <w:r w:rsidRPr="00B85FA7">
        <w:rPr>
          <w:rFonts w:hint="eastAsia"/>
        </w:rPr>
        <w:t>可结合绿道设置，增加步行系统的舒适性与安全性。</w:t>
      </w:r>
    </w:p>
    <w:p w:rsidR="00315A77" w:rsidRPr="00B85FA7" w:rsidRDefault="00315A77">
      <w:pPr>
        <w:pStyle w:val="af3"/>
        <w:ind w:firstLineChars="0" w:firstLine="0"/>
        <w:jc w:val="center"/>
      </w:pPr>
      <w:r w:rsidRPr="00B85FA7">
        <w:rPr>
          <w:noProof/>
        </w:rPr>
        <w:drawing>
          <wp:inline distT="0" distB="0" distL="0" distR="0" wp14:anchorId="004FA331" wp14:editId="0A344AAC">
            <wp:extent cx="4568110" cy="2738300"/>
            <wp:effectExtent l="0" t="0" r="4445"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t="2100" b="4305"/>
                    <a:stretch/>
                  </pic:blipFill>
                  <pic:spPr bwMode="auto">
                    <a:xfrm>
                      <a:off x="0" y="0"/>
                      <a:ext cx="4598122" cy="2756291"/>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r w:rsidRPr="00B85FA7">
        <w:rPr>
          <w:rFonts w:hint="eastAsia"/>
        </w:rPr>
        <w:t>一般站周边步行骨干系统示例</w:t>
      </w:r>
    </w:p>
    <w:p w:rsidR="002C72DC" w:rsidRPr="00B85FA7" w:rsidRDefault="008411D0" w:rsidP="0087223B">
      <w:pPr>
        <w:pStyle w:val="2"/>
        <w:keepNext w:val="0"/>
        <w:keepLines w:val="0"/>
      </w:pPr>
      <w:bookmarkStart w:id="61" w:name="_Toc423222435"/>
      <w:bookmarkStart w:id="62" w:name="_Toc435545794"/>
      <w:bookmarkStart w:id="63" w:name="_Toc398105655"/>
      <w:bookmarkEnd w:id="61"/>
      <w:r w:rsidRPr="00B85FA7">
        <w:rPr>
          <w:rFonts w:hint="eastAsia"/>
        </w:rPr>
        <w:lastRenderedPageBreak/>
        <w:t>轨道设施与线路</w:t>
      </w:r>
      <w:r w:rsidR="006B5C14" w:rsidRPr="00B85FA7">
        <w:rPr>
          <w:rFonts w:hint="eastAsia"/>
        </w:rPr>
        <w:t>用地</w:t>
      </w:r>
      <w:r w:rsidRPr="00B85FA7">
        <w:rPr>
          <w:rFonts w:hint="eastAsia"/>
        </w:rPr>
        <w:t>控制</w:t>
      </w:r>
      <w:bookmarkEnd w:id="62"/>
    </w:p>
    <w:p w:rsidR="002C72DC" w:rsidRPr="00B85FA7" w:rsidRDefault="006B5C14" w:rsidP="0087223B">
      <w:pPr>
        <w:pStyle w:val="31"/>
      </w:pPr>
      <w:r w:rsidRPr="00B85FA7">
        <w:rPr>
          <w:rFonts w:hint="eastAsia"/>
        </w:rPr>
        <w:t>线路与敷设方式优化</w:t>
      </w:r>
      <w:r w:rsidR="008411D0" w:rsidRPr="00B85FA7">
        <w:t>应遵循以下原则</w:t>
      </w:r>
      <w:r w:rsidR="008411D0" w:rsidRPr="00B85FA7">
        <w:rPr>
          <w:rFonts w:hint="eastAsia"/>
        </w:rPr>
        <w:t>：</w:t>
      </w:r>
    </w:p>
    <w:p w:rsidR="00F4402A" w:rsidRPr="00B85FA7" w:rsidRDefault="008411D0" w:rsidP="00E174E9">
      <w:pPr>
        <w:pStyle w:val="4"/>
        <w:numPr>
          <w:ilvl w:val="3"/>
          <w:numId w:val="53"/>
        </w:numPr>
      </w:pPr>
      <w:r w:rsidRPr="00B85FA7">
        <w:rPr>
          <w:rFonts w:hint="eastAsia"/>
        </w:rPr>
        <w:t>线路走向应优先满足</w:t>
      </w:r>
      <w:r w:rsidR="006B5C14" w:rsidRPr="00B85FA7">
        <w:rPr>
          <w:rFonts w:hint="eastAsia"/>
        </w:rPr>
        <w:t>城市功能和轨道客流需求</w:t>
      </w:r>
      <w:r w:rsidR="00F7283D" w:rsidRPr="00B85FA7">
        <w:rPr>
          <w:rFonts w:hint="eastAsia"/>
        </w:rPr>
        <w:t>，充分考虑线路初期、近期、远期的运营要求，</w:t>
      </w:r>
      <w:r w:rsidR="00C7584F" w:rsidRPr="00B85FA7">
        <w:rPr>
          <w:rFonts w:hint="eastAsia"/>
        </w:rPr>
        <w:t>不</w:t>
      </w:r>
      <w:r w:rsidR="00F7283D" w:rsidRPr="00B85FA7">
        <w:rPr>
          <w:rFonts w:hint="eastAsia"/>
        </w:rPr>
        <w:t>宜</w:t>
      </w:r>
      <w:r w:rsidR="00C7584F" w:rsidRPr="00B85FA7">
        <w:rPr>
          <w:rFonts w:hint="eastAsia"/>
        </w:rPr>
        <w:t>仅</w:t>
      </w:r>
      <w:r w:rsidR="00F7283D" w:rsidRPr="00B85FA7">
        <w:rPr>
          <w:rFonts w:hint="eastAsia"/>
        </w:rPr>
        <w:t>考虑工程和拆迁难度</w:t>
      </w:r>
      <w:r w:rsidRPr="00B85FA7">
        <w:rPr>
          <w:rFonts w:hint="eastAsia"/>
        </w:rPr>
        <w:t>。</w:t>
      </w:r>
    </w:p>
    <w:p w:rsidR="00F4402A" w:rsidRPr="00B85FA7" w:rsidRDefault="008411D0" w:rsidP="00A810FD">
      <w:pPr>
        <w:pStyle w:val="4"/>
      </w:pPr>
      <w:r w:rsidRPr="00B85FA7">
        <w:rPr>
          <w:rFonts w:hint="eastAsia"/>
        </w:rPr>
        <w:t>线路走向应避让环境敏感区及文物保护带，无法避让的，应进行具体评估，并采取相应的保护措施。</w:t>
      </w:r>
    </w:p>
    <w:p w:rsidR="002C72DC" w:rsidRPr="00B85FA7" w:rsidRDefault="008411D0" w:rsidP="00A810FD">
      <w:pPr>
        <w:pStyle w:val="4"/>
      </w:pPr>
      <w:r w:rsidRPr="00B85FA7">
        <w:rPr>
          <w:rFonts w:hint="eastAsia"/>
        </w:rPr>
        <w:t>线路走向应避免大范围的房屋拆迁，满足环保要求并与周边景观融合。</w:t>
      </w:r>
    </w:p>
    <w:p w:rsidR="00F4402A" w:rsidRPr="00B85FA7" w:rsidRDefault="00622046" w:rsidP="009F6AC2">
      <w:pPr>
        <w:pStyle w:val="4"/>
      </w:pPr>
      <w:r w:rsidRPr="00B85FA7">
        <w:rPr>
          <w:rFonts w:hint="eastAsia"/>
        </w:rPr>
        <w:t>线路敷设方式应与城市空间综合开发利用相衔接，并协调轨道交通空间与外部衔接空间的标高关系。</w:t>
      </w:r>
    </w:p>
    <w:p w:rsidR="002C72DC" w:rsidRPr="00B85FA7" w:rsidRDefault="008411D0" w:rsidP="009F6AC2">
      <w:pPr>
        <w:pStyle w:val="4"/>
      </w:pPr>
      <w:r w:rsidRPr="00B85FA7">
        <w:rPr>
          <w:rFonts w:hint="eastAsia"/>
        </w:rPr>
        <w:t>线路敷设应有</w:t>
      </w:r>
      <w:proofErr w:type="gramStart"/>
      <w:r w:rsidRPr="00B85FA7">
        <w:rPr>
          <w:rFonts w:hint="eastAsia"/>
        </w:rPr>
        <w:t>效</w:t>
      </w:r>
      <w:proofErr w:type="gramEnd"/>
      <w:r w:rsidRPr="00B85FA7">
        <w:rPr>
          <w:rFonts w:hint="eastAsia"/>
        </w:rPr>
        <w:t>利用投资，控制建设成本。鼓励采用新技术降低轨道交通的噪声与振动，科学确定地下线、地面线和高架线的建设比例，集约利用土地资源。</w:t>
      </w:r>
    </w:p>
    <w:p w:rsidR="002C72DC" w:rsidRPr="00B85FA7" w:rsidRDefault="008411D0" w:rsidP="0087223B">
      <w:pPr>
        <w:pStyle w:val="31"/>
      </w:pPr>
      <w:r w:rsidRPr="00B85FA7">
        <w:rPr>
          <w:rFonts w:hint="eastAsia"/>
        </w:rPr>
        <w:t>轨道站点用地控制应</w:t>
      </w:r>
      <w:r w:rsidRPr="00B85FA7">
        <w:t>满足以下</w:t>
      </w:r>
      <w:r w:rsidRPr="00B85FA7">
        <w:rPr>
          <w:rFonts w:hint="eastAsia"/>
        </w:rPr>
        <w:t>要求：</w:t>
      </w:r>
    </w:p>
    <w:p w:rsidR="002C72DC" w:rsidRPr="00B85FA7" w:rsidRDefault="00622046" w:rsidP="00E174E9">
      <w:pPr>
        <w:pStyle w:val="4"/>
        <w:numPr>
          <w:ilvl w:val="3"/>
          <w:numId w:val="54"/>
        </w:numPr>
      </w:pPr>
      <w:r w:rsidRPr="00B85FA7">
        <w:rPr>
          <w:rFonts w:hint="eastAsia"/>
        </w:rPr>
        <w:t>位于城市新建地区的轨道站点，应结合站点周边用地规划，在道路红线空间内以及周边地块内分别预留站点出入口</w:t>
      </w:r>
      <w:r w:rsidR="002D67DC" w:rsidRPr="00B85FA7">
        <w:rPr>
          <w:rFonts w:hint="eastAsia"/>
        </w:rPr>
        <w:t>及风</w:t>
      </w:r>
      <w:proofErr w:type="gramStart"/>
      <w:r w:rsidR="002D67DC" w:rsidRPr="00B85FA7">
        <w:rPr>
          <w:rFonts w:hint="eastAsia"/>
        </w:rPr>
        <w:t>亭设施</w:t>
      </w:r>
      <w:proofErr w:type="gramEnd"/>
      <w:r w:rsidR="002D67DC" w:rsidRPr="00B85FA7">
        <w:rPr>
          <w:rFonts w:hint="eastAsia"/>
        </w:rPr>
        <w:t>用地。站点出入口及风亭应满足当地城市规划管理部门的退让</w:t>
      </w:r>
      <w:r w:rsidRPr="00B85FA7">
        <w:rPr>
          <w:rFonts w:hint="eastAsia"/>
        </w:rPr>
        <w:t>规定；条件满足时，宜与建筑物结合设置。</w:t>
      </w:r>
    </w:p>
    <w:p w:rsidR="002C72DC" w:rsidRPr="00B85FA7" w:rsidRDefault="008411D0" w:rsidP="00533046">
      <w:pPr>
        <w:pStyle w:val="4"/>
      </w:pPr>
      <w:r w:rsidRPr="00B85FA7">
        <w:rPr>
          <w:rFonts w:hint="eastAsia"/>
        </w:rPr>
        <w:t>对于换乘站点，在控制站点用地时，应考虑减少换乘的步行距离。在城市中心区站点比较密集的情况下，应考虑设置轨道付费区内部的步行系统，以及将多个站点站厅</w:t>
      </w:r>
      <w:proofErr w:type="gramStart"/>
      <w:r w:rsidRPr="00B85FA7">
        <w:rPr>
          <w:rFonts w:hint="eastAsia"/>
        </w:rPr>
        <w:t>层联系</w:t>
      </w:r>
      <w:proofErr w:type="gramEnd"/>
      <w:r w:rsidRPr="00B85FA7">
        <w:rPr>
          <w:rFonts w:hint="eastAsia"/>
        </w:rPr>
        <w:t>在一起的可能性。</w:t>
      </w:r>
    </w:p>
    <w:p w:rsidR="002C72DC" w:rsidRPr="00B85FA7" w:rsidRDefault="008411D0" w:rsidP="0087223B">
      <w:pPr>
        <w:pStyle w:val="31"/>
      </w:pPr>
      <w:r w:rsidRPr="00B85FA7">
        <w:rPr>
          <w:rFonts w:hint="eastAsia"/>
        </w:rPr>
        <w:tab/>
      </w:r>
      <w:r w:rsidRPr="00B85FA7">
        <w:rPr>
          <w:rFonts w:hint="eastAsia"/>
        </w:rPr>
        <w:t>车辆段及停车场的规划与用地控制应符合以下要求：</w:t>
      </w:r>
    </w:p>
    <w:p w:rsidR="002C72DC" w:rsidRPr="00B85FA7" w:rsidRDefault="008411D0" w:rsidP="00E174E9">
      <w:pPr>
        <w:pStyle w:val="4"/>
        <w:numPr>
          <w:ilvl w:val="3"/>
          <w:numId w:val="19"/>
        </w:numPr>
      </w:pPr>
      <w:r w:rsidRPr="00B85FA7">
        <w:rPr>
          <w:rFonts w:hint="eastAsia"/>
        </w:rPr>
        <w:t>车辆段的选址应综合考虑</w:t>
      </w:r>
      <w:r w:rsidR="002D67DC" w:rsidRPr="00B85FA7">
        <w:rPr>
          <w:rFonts w:hint="eastAsia"/>
        </w:rPr>
        <w:t>城市规划用地的功能要求和</w:t>
      </w:r>
      <w:r w:rsidRPr="00B85FA7">
        <w:rPr>
          <w:rFonts w:hint="eastAsia"/>
        </w:rPr>
        <w:t>轨道交通系统特点，保障运营效率。从网络化运营和资源共享的角度，规划落实车辆维修基地、车辆段和停车场的选址和用地。</w:t>
      </w:r>
    </w:p>
    <w:p w:rsidR="002C72DC" w:rsidRPr="00B85FA7" w:rsidRDefault="008411D0" w:rsidP="0087223B">
      <w:pPr>
        <w:pStyle w:val="4"/>
      </w:pPr>
      <w:r w:rsidRPr="00B85FA7">
        <w:rPr>
          <w:rFonts w:hint="eastAsia"/>
        </w:rPr>
        <w:t>应贯彻集约利用土地的原则，从提高工艺水平、优化结构选型等方面对车辆段进行规模压缩。</w:t>
      </w:r>
    </w:p>
    <w:p w:rsidR="002C72DC" w:rsidRPr="00B85FA7" w:rsidRDefault="008411D0" w:rsidP="0087223B">
      <w:pPr>
        <w:pStyle w:val="4"/>
      </w:pPr>
      <w:r w:rsidRPr="00B85FA7">
        <w:rPr>
          <w:rFonts w:hint="eastAsia"/>
        </w:rPr>
        <w:lastRenderedPageBreak/>
        <w:t>应充分利用车辆段进行城市空间的综合利用，实现节地、节能环保、可持续发展。根据车辆段周边的地区开发状况和规划，应有针对性地做好车辆段上盖开发策划，适时进行上盖开发。</w:t>
      </w:r>
    </w:p>
    <w:p w:rsidR="002C72DC" w:rsidRPr="00B85FA7" w:rsidRDefault="00AD269B" w:rsidP="002D67DC">
      <w:pPr>
        <w:pStyle w:val="31"/>
      </w:pPr>
      <w:r w:rsidRPr="00B85FA7">
        <w:rPr>
          <w:rFonts w:hint="eastAsia"/>
        </w:rPr>
        <w:t>规划落实联络线、站前</w:t>
      </w:r>
      <w:r w:rsidR="00622046" w:rsidRPr="00B85FA7">
        <w:rPr>
          <w:rFonts w:hint="eastAsia"/>
        </w:rPr>
        <w:t>站后折返线</w:t>
      </w:r>
      <w:r w:rsidRPr="00B85FA7">
        <w:rPr>
          <w:rFonts w:hint="eastAsia"/>
        </w:rPr>
        <w:t>的选址和用地，鼓励资源共享，集约利用土地资源；条件允许时，宜预留其</w:t>
      </w:r>
      <w:r w:rsidR="00622046" w:rsidRPr="00B85FA7">
        <w:rPr>
          <w:rFonts w:hint="eastAsia"/>
        </w:rPr>
        <w:t>与周边空间</w:t>
      </w:r>
      <w:r w:rsidRPr="00B85FA7">
        <w:rPr>
          <w:rFonts w:hint="eastAsia"/>
        </w:rPr>
        <w:t>组合开发的</w:t>
      </w:r>
      <w:r w:rsidR="00622046" w:rsidRPr="00B85FA7">
        <w:rPr>
          <w:rFonts w:hint="eastAsia"/>
        </w:rPr>
        <w:t>条件。</w:t>
      </w:r>
    </w:p>
    <w:p w:rsidR="002C72DC" w:rsidRPr="00B85FA7" w:rsidRDefault="008411D0" w:rsidP="0087223B">
      <w:pPr>
        <w:pStyle w:val="31"/>
      </w:pPr>
      <w:r w:rsidRPr="00B85FA7">
        <w:rPr>
          <w:rFonts w:hint="eastAsia"/>
        </w:rPr>
        <w:t>主变电所用地控制应</w:t>
      </w:r>
      <w:r w:rsidRPr="00B85FA7">
        <w:t>满足以下原则</w:t>
      </w:r>
      <w:r w:rsidRPr="00B85FA7">
        <w:rPr>
          <w:rFonts w:hint="eastAsia"/>
        </w:rPr>
        <w:t>：</w:t>
      </w:r>
    </w:p>
    <w:p w:rsidR="002C72DC" w:rsidRPr="00B85FA7" w:rsidRDefault="008411D0" w:rsidP="00E174E9">
      <w:pPr>
        <w:pStyle w:val="4"/>
        <w:numPr>
          <w:ilvl w:val="3"/>
          <w:numId w:val="20"/>
        </w:numPr>
      </w:pPr>
      <w:r w:rsidRPr="00B85FA7">
        <w:rPr>
          <w:rFonts w:hint="eastAsia"/>
        </w:rPr>
        <w:t>主变电站、所选址应按“优先供电，就近供电”的原则，落实双电源和供电走廊，并靠近城市规划的电源点和轨道交通网络节点，方便多线使用。</w:t>
      </w:r>
    </w:p>
    <w:p w:rsidR="002C72DC" w:rsidRPr="00B85FA7" w:rsidRDefault="00A4330D" w:rsidP="009F6AC2">
      <w:pPr>
        <w:pStyle w:val="4"/>
      </w:pPr>
      <w:r w:rsidRPr="00B85FA7">
        <w:rPr>
          <w:rFonts w:hint="eastAsia"/>
        </w:rPr>
        <w:t>根据</w:t>
      </w:r>
      <w:r w:rsidR="008411D0" w:rsidRPr="00B85FA7">
        <w:rPr>
          <w:rFonts w:hint="eastAsia"/>
        </w:rPr>
        <w:t>容量和敷设方式</w:t>
      </w:r>
      <w:r w:rsidRPr="00B85FA7">
        <w:rPr>
          <w:rFonts w:hint="eastAsia"/>
        </w:rPr>
        <w:t>，核定变电站、所的使用面积</w:t>
      </w:r>
      <w:r w:rsidR="008411D0" w:rsidRPr="00B85FA7">
        <w:rPr>
          <w:rFonts w:hint="eastAsia"/>
        </w:rPr>
        <w:t>，</w:t>
      </w:r>
      <w:r w:rsidRPr="00B85FA7">
        <w:rPr>
          <w:rFonts w:hint="eastAsia"/>
        </w:rPr>
        <w:t>并落实选址</w:t>
      </w:r>
      <w:r w:rsidR="008411D0" w:rsidRPr="00B85FA7">
        <w:rPr>
          <w:rFonts w:hint="eastAsia"/>
        </w:rPr>
        <w:t>。</w:t>
      </w:r>
    </w:p>
    <w:p w:rsidR="002C72DC" w:rsidRPr="00B85FA7" w:rsidRDefault="008411D0" w:rsidP="009F6AC2">
      <w:pPr>
        <w:pStyle w:val="4"/>
      </w:pPr>
      <w:r w:rsidRPr="00B85FA7">
        <w:rPr>
          <w:rFonts w:hint="eastAsia"/>
        </w:rPr>
        <w:t>景观敏感区域应将变电站</w:t>
      </w:r>
      <w:r w:rsidR="00A4330D" w:rsidRPr="00B85FA7">
        <w:rPr>
          <w:rFonts w:hint="eastAsia"/>
        </w:rPr>
        <w:t>、所</w:t>
      </w:r>
      <w:r w:rsidRPr="00B85FA7">
        <w:rPr>
          <w:rFonts w:hint="eastAsia"/>
        </w:rPr>
        <w:t>设计成地下敷设或与周边建筑物合建的形式。</w:t>
      </w:r>
    </w:p>
    <w:p w:rsidR="002C72DC" w:rsidRPr="00B85FA7" w:rsidRDefault="008411D0" w:rsidP="0087223B">
      <w:pPr>
        <w:pStyle w:val="31"/>
      </w:pPr>
      <w:r w:rsidRPr="00B85FA7">
        <w:rPr>
          <w:rFonts w:hint="eastAsia"/>
        </w:rPr>
        <w:t>应</w:t>
      </w:r>
      <w:r w:rsidR="00A4330D" w:rsidRPr="00B85FA7">
        <w:rPr>
          <w:rFonts w:hint="eastAsia"/>
        </w:rPr>
        <w:t>综合考虑</w:t>
      </w:r>
      <w:r w:rsidRPr="00B85FA7">
        <w:rPr>
          <w:rFonts w:hint="eastAsia"/>
        </w:rPr>
        <w:t>全网调控中心</w:t>
      </w:r>
      <w:r w:rsidR="00A4330D" w:rsidRPr="00B85FA7">
        <w:rPr>
          <w:rFonts w:hint="eastAsia"/>
        </w:rPr>
        <w:t>、</w:t>
      </w:r>
      <w:r w:rsidRPr="00B85FA7">
        <w:rPr>
          <w:rFonts w:hint="eastAsia"/>
        </w:rPr>
        <w:t>运营控制</w:t>
      </w:r>
      <w:r w:rsidR="00A4330D" w:rsidRPr="00B85FA7">
        <w:rPr>
          <w:rFonts w:hint="eastAsia"/>
        </w:rPr>
        <w:t>中心、</w:t>
      </w:r>
      <w:r w:rsidRPr="00B85FA7">
        <w:rPr>
          <w:rFonts w:hint="eastAsia"/>
        </w:rPr>
        <w:t>全网物流调配中心（含材料库）</w:t>
      </w:r>
      <w:r w:rsidR="00A4330D" w:rsidRPr="00B85FA7">
        <w:rPr>
          <w:rFonts w:hint="eastAsia"/>
        </w:rPr>
        <w:t>等其</w:t>
      </w:r>
      <w:r w:rsidR="00533046" w:rsidRPr="00B85FA7">
        <w:rPr>
          <w:rFonts w:hint="eastAsia"/>
        </w:rPr>
        <w:t>他</w:t>
      </w:r>
      <w:r w:rsidR="00A4330D" w:rsidRPr="00B85FA7">
        <w:rPr>
          <w:rFonts w:hint="eastAsia"/>
        </w:rPr>
        <w:t>生产设施的功能需求</w:t>
      </w:r>
      <w:r w:rsidRPr="00B85FA7">
        <w:rPr>
          <w:rFonts w:hint="eastAsia"/>
        </w:rPr>
        <w:t>。</w:t>
      </w:r>
    </w:p>
    <w:p w:rsidR="002C72DC" w:rsidRPr="00B85FA7" w:rsidRDefault="008411D0">
      <w:pPr>
        <w:pStyle w:val="2"/>
      </w:pPr>
      <w:bookmarkStart w:id="64" w:name="_Toc398105656"/>
      <w:bookmarkStart w:id="65" w:name="_Toc435545795"/>
      <w:bookmarkEnd w:id="63"/>
      <w:r w:rsidRPr="00B85FA7">
        <w:rPr>
          <w:rFonts w:hint="eastAsia"/>
        </w:rPr>
        <w:t>市政管线</w:t>
      </w:r>
      <w:r w:rsidR="0064306A" w:rsidRPr="00B85FA7">
        <w:rPr>
          <w:rFonts w:hint="eastAsia"/>
        </w:rPr>
        <w:t>规划</w:t>
      </w:r>
      <w:r w:rsidRPr="00B85FA7">
        <w:rPr>
          <w:rFonts w:hint="eastAsia"/>
        </w:rPr>
        <w:t>控制</w:t>
      </w:r>
      <w:bookmarkEnd w:id="64"/>
      <w:bookmarkEnd w:id="65"/>
    </w:p>
    <w:p w:rsidR="00A41FBB" w:rsidRPr="00B85FA7" w:rsidRDefault="00A41FBB" w:rsidP="00A41FBB">
      <w:pPr>
        <w:pStyle w:val="31"/>
      </w:pPr>
      <w:r w:rsidRPr="00B85FA7">
        <w:rPr>
          <w:rFonts w:hint="eastAsia"/>
        </w:rPr>
        <w:t>在进行轨道线路规划时，应同步进行市政管网、地下综合管廊及地下空间规划。</w:t>
      </w:r>
    </w:p>
    <w:p w:rsidR="00A41FBB" w:rsidRPr="00B85FA7" w:rsidRDefault="00A41FBB" w:rsidP="00A41FBB">
      <w:pPr>
        <w:pStyle w:val="31"/>
      </w:pPr>
      <w:r w:rsidRPr="00B85FA7">
        <w:rPr>
          <w:rFonts w:hint="eastAsia"/>
        </w:rPr>
        <w:t>鼓励结合轨道沿线规划，统一规划设置市政综合管廊。与轨道线路平行的市政管线，有条件的都应纳入综合管廊。与轨道线路垂直的市政管线，和轨道线路相交处，</w:t>
      </w:r>
      <w:proofErr w:type="gramStart"/>
      <w:r w:rsidRPr="00B85FA7">
        <w:rPr>
          <w:rFonts w:hint="eastAsia"/>
        </w:rPr>
        <w:t>宜设置</w:t>
      </w:r>
      <w:proofErr w:type="gramEnd"/>
      <w:r w:rsidRPr="00B85FA7">
        <w:rPr>
          <w:rFonts w:hint="eastAsia"/>
        </w:rPr>
        <w:t>长度不小于</w:t>
      </w:r>
      <w:r w:rsidRPr="00B85FA7">
        <w:rPr>
          <w:rFonts w:hint="eastAsia"/>
        </w:rPr>
        <w:t xml:space="preserve">100 </w:t>
      </w:r>
      <w:r w:rsidRPr="00B85FA7">
        <w:t>m</w:t>
      </w:r>
      <w:r w:rsidRPr="00B85FA7">
        <w:rPr>
          <w:rFonts w:hint="eastAsia"/>
        </w:rPr>
        <w:t>的综合管廊。</w:t>
      </w:r>
    </w:p>
    <w:p w:rsidR="002C72DC" w:rsidRPr="00B85FA7" w:rsidRDefault="00A41FBB" w:rsidP="00A41FBB">
      <w:pPr>
        <w:pStyle w:val="31"/>
      </w:pPr>
      <w:r w:rsidRPr="00B85FA7">
        <w:rPr>
          <w:rFonts w:hint="eastAsia"/>
        </w:rPr>
        <w:t>市政管网应避让轨道线路及站点地下空间开发。</w:t>
      </w:r>
    </w:p>
    <w:p w:rsidR="002C72DC" w:rsidRPr="00B85FA7" w:rsidRDefault="00A41FBB" w:rsidP="00E174E9">
      <w:pPr>
        <w:pStyle w:val="4"/>
        <w:numPr>
          <w:ilvl w:val="3"/>
          <w:numId w:val="21"/>
        </w:numPr>
      </w:pPr>
      <w:r w:rsidRPr="00B85FA7">
        <w:rPr>
          <w:rFonts w:hint="eastAsia"/>
        </w:rPr>
        <w:t>主要市政管线走廊（尤其是埋深大于</w:t>
      </w:r>
      <w:r w:rsidRPr="00B85FA7">
        <w:rPr>
          <w:rFonts w:hint="eastAsia"/>
        </w:rPr>
        <w:t>4</w:t>
      </w:r>
      <w:r w:rsidR="003A2BBB">
        <w:rPr>
          <w:rFonts w:hint="eastAsia"/>
        </w:rPr>
        <w:t xml:space="preserve"> </w:t>
      </w:r>
      <w:r w:rsidRPr="00B85FA7">
        <w:rPr>
          <w:rFonts w:hint="eastAsia"/>
        </w:rPr>
        <w:t>m</w:t>
      </w:r>
      <w:r w:rsidRPr="00B85FA7">
        <w:rPr>
          <w:rFonts w:hint="eastAsia"/>
        </w:rPr>
        <w:t>的重力流管线）和轨道线路宜分别布置在不同道路上。</w:t>
      </w:r>
    </w:p>
    <w:p w:rsidR="00A41FBB" w:rsidRPr="00B85FA7" w:rsidRDefault="00A41FBB" w:rsidP="00B6461E">
      <w:pPr>
        <w:pStyle w:val="4"/>
      </w:pPr>
      <w:r w:rsidRPr="00B85FA7">
        <w:rPr>
          <w:rFonts w:hint="eastAsia"/>
        </w:rPr>
        <w:t>轨道沿线道路宜</w:t>
      </w:r>
      <w:proofErr w:type="gramStart"/>
      <w:r w:rsidRPr="00B85FA7">
        <w:rPr>
          <w:rFonts w:hint="eastAsia"/>
        </w:rPr>
        <w:t>取区域</w:t>
      </w:r>
      <w:proofErr w:type="gramEnd"/>
      <w:r w:rsidRPr="00B85FA7">
        <w:rPr>
          <w:rFonts w:hint="eastAsia"/>
        </w:rPr>
        <w:t>高点，使轨道上方道路雨水向相邻道路排放，以实现轨道沿线道路不设置较深雨水管线。</w:t>
      </w:r>
    </w:p>
    <w:p w:rsidR="002C72DC" w:rsidRPr="00B85FA7" w:rsidRDefault="00291A3A">
      <w:pPr>
        <w:pStyle w:val="af3"/>
        <w:ind w:firstLineChars="0" w:firstLine="0"/>
        <w:jc w:val="center"/>
      </w:pPr>
      <w:r w:rsidRPr="00B85FA7">
        <w:rPr>
          <w:noProof/>
        </w:rPr>
        <w:lastRenderedPageBreak/>
        <w:drawing>
          <wp:inline distT="0" distB="0" distL="0" distR="0" wp14:anchorId="132160FC" wp14:editId="029263C1">
            <wp:extent cx="3550920" cy="2514600"/>
            <wp:effectExtent l="0" t="0" r="0" b="0"/>
            <wp:docPr id="24" name="图片框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24"/>
                    <pic:cNvPicPr>
                      <a:picLocks noChangeAspect="1" noChangeArrowheads="1"/>
                    </pic:cNvPicPr>
                  </pic:nvPicPr>
                  <pic:blipFill>
                    <a:blip r:embed="rId36">
                      <a:extLst>
                        <a:ext uri="{28A0092B-C50C-407E-A947-70E740481C1C}">
                          <a14:useLocalDpi xmlns:a14="http://schemas.microsoft.com/office/drawing/2010/main" val="0"/>
                        </a:ext>
                      </a:extLst>
                    </a:blip>
                    <a:srcRect l="4024" t="14729" r="3876" b="9752"/>
                    <a:stretch>
                      <a:fillRect/>
                    </a:stretch>
                  </pic:blipFill>
                  <pic:spPr bwMode="auto">
                    <a:xfrm>
                      <a:off x="0" y="0"/>
                      <a:ext cx="3550920" cy="2514600"/>
                    </a:xfrm>
                    <a:prstGeom prst="rect">
                      <a:avLst/>
                    </a:prstGeom>
                    <a:noFill/>
                    <a:ln>
                      <a:noFill/>
                    </a:ln>
                  </pic:spPr>
                </pic:pic>
              </a:graphicData>
            </a:graphic>
          </wp:inline>
        </w:drawing>
      </w:r>
    </w:p>
    <w:p w:rsidR="002C72DC" w:rsidRPr="00B85FA7" w:rsidRDefault="008411D0" w:rsidP="0087223B">
      <w:pPr>
        <w:pStyle w:val="a"/>
        <w:widowControl w:val="0"/>
      </w:pPr>
      <w:r w:rsidRPr="00B85FA7">
        <w:rPr>
          <w:rFonts w:hint="eastAsia"/>
        </w:rPr>
        <w:t>轨道交通线路与市政管线关系图</w:t>
      </w:r>
    </w:p>
    <w:p w:rsidR="002C72DC" w:rsidRPr="00B85FA7" w:rsidRDefault="00966EFB" w:rsidP="00B6461E">
      <w:pPr>
        <w:pStyle w:val="4"/>
      </w:pPr>
      <w:r w:rsidRPr="00B85FA7">
        <w:rPr>
          <w:rFonts w:hint="eastAsia"/>
        </w:rPr>
        <w:t>轨道线路与高压架空线走廊应相互避让，以免高压线影响站点出入口的设置和轨道线路的施工建设。</w:t>
      </w:r>
    </w:p>
    <w:p w:rsidR="00966EFB" w:rsidRPr="00B85FA7" w:rsidRDefault="00966EFB" w:rsidP="00B6461E">
      <w:pPr>
        <w:pStyle w:val="4"/>
      </w:pPr>
      <w:r w:rsidRPr="00B85FA7">
        <w:rPr>
          <w:rFonts w:hint="eastAsia"/>
        </w:rPr>
        <w:t>垂直于轨道线路方向且埋深大于</w:t>
      </w:r>
      <w:r w:rsidRPr="00B85FA7">
        <w:rPr>
          <w:rFonts w:hint="eastAsia"/>
        </w:rPr>
        <w:t>5 m</w:t>
      </w:r>
      <w:r w:rsidRPr="00B85FA7">
        <w:rPr>
          <w:rFonts w:hint="eastAsia"/>
        </w:rPr>
        <w:t>的管线，宜避开轨道站点所在路口，选择与</w:t>
      </w:r>
      <w:r w:rsidR="00D948CE" w:rsidRPr="00B85FA7">
        <w:rPr>
          <w:rFonts w:hint="eastAsia"/>
        </w:rPr>
        <w:t>轨道</w:t>
      </w:r>
      <w:r w:rsidR="00D948CE" w:rsidRPr="00B85FA7">
        <w:t>线路</w:t>
      </w:r>
      <w:r w:rsidRPr="00B85FA7">
        <w:rPr>
          <w:rFonts w:hint="eastAsia"/>
        </w:rPr>
        <w:t>区间垂直布设。</w:t>
      </w:r>
    </w:p>
    <w:p w:rsidR="00966EFB" w:rsidRPr="00B85FA7" w:rsidRDefault="00966EFB" w:rsidP="00B6461E">
      <w:pPr>
        <w:pStyle w:val="4"/>
      </w:pPr>
      <w:r w:rsidRPr="00B85FA7">
        <w:rPr>
          <w:rFonts w:hint="eastAsia"/>
        </w:rPr>
        <w:t>与轨道线路区间垂直相交的管线埋深不宜超过</w:t>
      </w:r>
      <w:r w:rsidRPr="00B85FA7">
        <w:rPr>
          <w:rFonts w:hint="eastAsia"/>
        </w:rPr>
        <w:t>10 m</w:t>
      </w:r>
      <w:r w:rsidRPr="00B85FA7">
        <w:rPr>
          <w:rFonts w:hint="eastAsia"/>
        </w:rPr>
        <w:t>，对于超过</w:t>
      </w:r>
      <w:r w:rsidRPr="00B85FA7">
        <w:rPr>
          <w:rFonts w:hint="eastAsia"/>
        </w:rPr>
        <w:t>10 m</w:t>
      </w:r>
      <w:r w:rsidRPr="00B85FA7">
        <w:rPr>
          <w:rFonts w:hint="eastAsia"/>
        </w:rPr>
        <w:t>的管线，需要进行区间与管线标高节点详细设计。设计成果需轨道交通与管线规划双方签认。</w:t>
      </w:r>
    </w:p>
    <w:p w:rsidR="00966EFB" w:rsidRPr="00B85FA7" w:rsidRDefault="00966EFB" w:rsidP="00B6461E">
      <w:pPr>
        <w:pStyle w:val="4"/>
      </w:pPr>
      <w:r w:rsidRPr="00B85FA7">
        <w:rPr>
          <w:rFonts w:hint="eastAsia"/>
        </w:rPr>
        <w:t>与换乘站点垂直且埋深大于</w:t>
      </w:r>
      <w:r w:rsidRPr="00B85FA7">
        <w:rPr>
          <w:rFonts w:hint="eastAsia"/>
        </w:rPr>
        <w:t>3 m</w:t>
      </w:r>
      <w:r w:rsidRPr="00B85FA7">
        <w:rPr>
          <w:rFonts w:hint="eastAsia"/>
        </w:rPr>
        <w:t>的管线，需要同时研究管线与换乘线一站两区间的关系。</w:t>
      </w:r>
    </w:p>
    <w:p w:rsidR="002C72DC" w:rsidRPr="00B85FA7" w:rsidRDefault="008411D0" w:rsidP="0087223B">
      <w:pPr>
        <w:pStyle w:val="4"/>
      </w:pPr>
      <w:r w:rsidRPr="00B85FA7">
        <w:br w:type="page"/>
      </w:r>
    </w:p>
    <w:p w:rsidR="002C72DC" w:rsidRPr="00B85FA7" w:rsidRDefault="008411D0">
      <w:pPr>
        <w:pStyle w:val="1"/>
      </w:pPr>
      <w:bookmarkStart w:id="66" w:name="_Toc407709886"/>
      <w:bookmarkStart w:id="67" w:name="_Toc398105658"/>
      <w:bookmarkStart w:id="68" w:name="_Toc435545796"/>
      <w:bookmarkEnd w:id="66"/>
      <w:r w:rsidRPr="00B85FA7">
        <w:rPr>
          <w:rFonts w:hint="eastAsia"/>
        </w:rPr>
        <w:lastRenderedPageBreak/>
        <w:t>站点层面规划设计</w:t>
      </w:r>
      <w:bookmarkEnd w:id="67"/>
      <w:r w:rsidRPr="00B85FA7">
        <w:rPr>
          <w:rFonts w:hint="eastAsia"/>
        </w:rPr>
        <w:t>引导</w:t>
      </w:r>
      <w:bookmarkEnd w:id="68"/>
    </w:p>
    <w:p w:rsidR="002C72DC" w:rsidRPr="00B85FA7" w:rsidRDefault="008411D0">
      <w:pPr>
        <w:pStyle w:val="2"/>
      </w:pPr>
      <w:bookmarkStart w:id="69" w:name="_Toc398105662"/>
      <w:bookmarkStart w:id="70" w:name="_Toc435545797"/>
      <w:bookmarkStart w:id="71" w:name="_GoBack"/>
      <w:bookmarkEnd w:id="71"/>
      <w:r w:rsidRPr="00B85FA7">
        <w:rPr>
          <w:rFonts w:hint="eastAsia"/>
        </w:rPr>
        <w:t>功能协调规划</w:t>
      </w:r>
      <w:bookmarkEnd w:id="69"/>
      <w:bookmarkEnd w:id="70"/>
    </w:p>
    <w:p w:rsidR="002C72DC" w:rsidRPr="00B85FA7" w:rsidRDefault="008411D0" w:rsidP="00220AE4">
      <w:pPr>
        <w:pStyle w:val="31"/>
      </w:pPr>
      <w:r w:rsidRPr="00B85FA7">
        <w:rPr>
          <w:rFonts w:hint="eastAsia"/>
        </w:rPr>
        <w:t>功能衔接：轨道站点核心区的功能规划应与《轨道沿线用地调整规划》中的功能定位内容相衔接，并须落实其中关于公共设施、交通设施配置的强制性条款。</w:t>
      </w:r>
    </w:p>
    <w:p w:rsidR="002C72DC" w:rsidRPr="00B85FA7" w:rsidRDefault="008411D0">
      <w:pPr>
        <w:pStyle w:val="31"/>
      </w:pPr>
      <w:r w:rsidRPr="00B85FA7">
        <w:rPr>
          <w:rFonts w:hint="eastAsia"/>
        </w:rPr>
        <w:t>业态规划：轨道站点核心区的商业功能、开发规模及功能比例，应在考虑所在城市轨道交通建设与管理投融资机制和上位规划的基础上，通过详细的产业分析策划及相关投融资分析加以确定。表</w:t>
      </w:r>
      <w:r w:rsidRPr="00B85FA7">
        <w:t>7.1</w:t>
      </w:r>
      <w:r w:rsidRPr="00B85FA7">
        <w:rPr>
          <w:rFonts w:hint="eastAsia"/>
        </w:rPr>
        <w:t>提供了各类站点业态的匹配度。</w:t>
      </w:r>
    </w:p>
    <w:p w:rsidR="002C72DC" w:rsidRPr="00B85FA7" w:rsidRDefault="008411D0">
      <w:pPr>
        <w:pStyle w:val="10"/>
      </w:pPr>
      <w:r w:rsidRPr="00B85FA7">
        <w:rPr>
          <w:rFonts w:hint="eastAsia"/>
        </w:rPr>
        <w:t>各类站点的功能业态匹配度</w:t>
      </w:r>
    </w:p>
    <w:tbl>
      <w:tblPr>
        <w:tblW w:w="8293" w:type="dxa"/>
        <w:jc w:val="center"/>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724"/>
        <w:gridCol w:w="1402"/>
        <w:gridCol w:w="685"/>
        <w:gridCol w:w="685"/>
        <w:gridCol w:w="685"/>
        <w:gridCol w:w="685"/>
        <w:gridCol w:w="687"/>
        <w:gridCol w:w="685"/>
        <w:gridCol w:w="685"/>
        <w:gridCol w:w="685"/>
        <w:gridCol w:w="685"/>
      </w:tblGrid>
      <w:tr w:rsidR="002C72DC" w:rsidRPr="00B85FA7" w:rsidTr="009E44E7">
        <w:trPr>
          <w:trHeight w:val="46"/>
          <w:jc w:val="center"/>
        </w:trPr>
        <w:tc>
          <w:tcPr>
            <w:tcW w:w="2126" w:type="dxa"/>
            <w:gridSpan w:val="2"/>
            <w:vMerge w:val="restart"/>
            <w:vAlign w:val="center"/>
          </w:tcPr>
          <w:p w:rsidR="002C72DC" w:rsidRPr="00B85FA7" w:rsidRDefault="008411D0" w:rsidP="002D3141">
            <w:pPr>
              <w:widowControl w:val="0"/>
              <w:spacing w:before="0" w:after="0" w:line="240" w:lineRule="auto"/>
              <w:ind w:firstLineChars="0" w:firstLine="0"/>
              <w:jc w:val="center"/>
              <w:rPr>
                <w:rFonts w:cs="Times New Roman"/>
                <w:sz w:val="21"/>
              </w:rPr>
            </w:pPr>
            <w:r w:rsidRPr="00B85FA7">
              <w:rPr>
                <w:rFonts w:cs="Times New Roman" w:hint="eastAsia"/>
                <w:sz w:val="21"/>
              </w:rPr>
              <w:t>站点类型</w:t>
            </w:r>
          </w:p>
        </w:tc>
        <w:tc>
          <w:tcPr>
            <w:tcW w:w="6167" w:type="dxa"/>
            <w:gridSpan w:val="9"/>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业</w:t>
            </w:r>
            <w:proofErr w:type="gramStart"/>
            <w:r w:rsidRPr="00B85FA7">
              <w:rPr>
                <w:rFonts w:cs="Times New Roman" w:hint="eastAsia"/>
                <w:sz w:val="21"/>
              </w:rPr>
              <w:t>态类型</w:t>
            </w:r>
            <w:proofErr w:type="gramEnd"/>
            <w:r w:rsidRPr="00B85FA7">
              <w:rPr>
                <w:rFonts w:cs="Times New Roman" w:hint="eastAsia"/>
                <w:sz w:val="21"/>
              </w:rPr>
              <w:t>与匹配度</w:t>
            </w:r>
          </w:p>
        </w:tc>
      </w:tr>
      <w:tr w:rsidR="002C72DC" w:rsidRPr="00B85FA7" w:rsidTr="009E44E7">
        <w:trPr>
          <w:trHeight w:val="46"/>
          <w:jc w:val="center"/>
        </w:trPr>
        <w:tc>
          <w:tcPr>
            <w:tcW w:w="2126" w:type="dxa"/>
            <w:gridSpan w:val="2"/>
            <w:vMerge/>
          </w:tcPr>
          <w:p w:rsidR="002C72DC" w:rsidRPr="00B85FA7" w:rsidRDefault="002C72DC">
            <w:pPr>
              <w:widowControl w:val="0"/>
              <w:spacing w:before="0" w:after="0" w:line="240" w:lineRule="auto"/>
              <w:ind w:firstLineChars="0" w:firstLine="0"/>
              <w:jc w:val="center"/>
              <w:rPr>
                <w:rFonts w:cs="Times New Roman"/>
                <w:sz w:val="21"/>
              </w:rPr>
            </w:pP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交通</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办公</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商业</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酒店</w:t>
            </w:r>
          </w:p>
        </w:tc>
        <w:tc>
          <w:tcPr>
            <w:tcW w:w="687"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居住</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文教</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旅游</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会展</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市政</w:t>
            </w:r>
          </w:p>
        </w:tc>
      </w:tr>
      <w:tr w:rsidR="002C72DC" w:rsidRPr="00B85FA7" w:rsidTr="009E44E7">
        <w:trPr>
          <w:trHeight w:val="9"/>
          <w:jc w:val="center"/>
        </w:trPr>
        <w:tc>
          <w:tcPr>
            <w:tcW w:w="724"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sz w:val="21"/>
              </w:rPr>
              <w:t>A</w:t>
            </w:r>
            <w:r w:rsidRPr="00B85FA7">
              <w:rPr>
                <w:rFonts w:cs="Times New Roman" w:hint="eastAsia"/>
                <w:sz w:val="21"/>
              </w:rPr>
              <w:t>类</w:t>
            </w:r>
          </w:p>
        </w:tc>
        <w:tc>
          <w:tcPr>
            <w:tcW w:w="1402"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枢纽站</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7" w:type="dxa"/>
            <w:tcMar>
              <w:top w:w="58" w:type="dxa"/>
              <w:left w:w="116" w:type="dxa"/>
              <w:bottom w:w="58" w:type="dxa"/>
              <w:right w:w="116" w:type="dxa"/>
            </w:tcMar>
            <w:vAlign w:val="center"/>
          </w:tcPr>
          <w:p w:rsidR="002C72DC" w:rsidRPr="00B85FA7" w:rsidRDefault="002C72DC">
            <w:pPr>
              <w:widowControl w:val="0"/>
              <w:spacing w:before="0" w:after="0" w:line="240" w:lineRule="auto"/>
              <w:ind w:firstLineChars="0" w:firstLine="0"/>
              <w:jc w:val="center"/>
              <w:rPr>
                <w:rFonts w:cs="Times New Roman"/>
                <w:sz w:val="21"/>
              </w:rPr>
            </w:pPr>
          </w:p>
        </w:tc>
        <w:tc>
          <w:tcPr>
            <w:tcW w:w="685" w:type="dxa"/>
            <w:vAlign w:val="center"/>
          </w:tcPr>
          <w:p w:rsidR="002C72DC" w:rsidRPr="00B85FA7" w:rsidRDefault="002C72DC">
            <w:pPr>
              <w:widowControl w:val="0"/>
              <w:spacing w:before="0" w:after="0" w:line="240" w:lineRule="auto"/>
              <w:ind w:firstLineChars="0" w:firstLine="0"/>
              <w:jc w:val="center"/>
              <w:rPr>
                <w:rFonts w:cs="Times New Roman"/>
                <w:sz w:val="21"/>
              </w:rPr>
            </w:pP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1</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r>
      <w:tr w:rsidR="002C72DC" w:rsidRPr="00B85FA7" w:rsidTr="009E44E7">
        <w:trPr>
          <w:trHeight w:val="92"/>
          <w:jc w:val="center"/>
        </w:trPr>
        <w:tc>
          <w:tcPr>
            <w:tcW w:w="724"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sz w:val="21"/>
              </w:rPr>
              <w:t>B</w:t>
            </w:r>
            <w:r w:rsidRPr="00B85FA7">
              <w:rPr>
                <w:rFonts w:cs="Times New Roman" w:hint="eastAsia"/>
                <w:sz w:val="21"/>
              </w:rPr>
              <w:t>类</w:t>
            </w:r>
          </w:p>
        </w:tc>
        <w:tc>
          <w:tcPr>
            <w:tcW w:w="1402"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中心站</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4</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7"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4</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4</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2</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r>
      <w:tr w:rsidR="002C72DC" w:rsidRPr="00B85FA7" w:rsidTr="009E44E7">
        <w:trPr>
          <w:trHeight w:val="92"/>
          <w:jc w:val="center"/>
        </w:trPr>
        <w:tc>
          <w:tcPr>
            <w:tcW w:w="724"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sz w:val="21"/>
              </w:rPr>
              <w:t>C</w:t>
            </w:r>
            <w:r w:rsidRPr="00B85FA7">
              <w:rPr>
                <w:rFonts w:cs="Times New Roman" w:hint="eastAsia"/>
                <w:sz w:val="21"/>
              </w:rPr>
              <w:t>类</w:t>
            </w:r>
          </w:p>
        </w:tc>
        <w:tc>
          <w:tcPr>
            <w:tcW w:w="1402"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proofErr w:type="gramStart"/>
            <w:r w:rsidRPr="00B85FA7">
              <w:rPr>
                <w:rFonts w:cs="Times New Roman" w:hint="eastAsia"/>
                <w:sz w:val="21"/>
              </w:rPr>
              <w:t>组团站</w:t>
            </w:r>
            <w:proofErr w:type="gramEnd"/>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4</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4</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7"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2</w:t>
            </w:r>
          </w:p>
        </w:tc>
        <w:tc>
          <w:tcPr>
            <w:tcW w:w="685" w:type="dxa"/>
            <w:vAlign w:val="center"/>
          </w:tcPr>
          <w:p w:rsidR="002C72DC" w:rsidRPr="00B85FA7" w:rsidRDefault="002C72DC">
            <w:pPr>
              <w:widowControl w:val="0"/>
              <w:spacing w:before="0" w:after="0" w:line="240" w:lineRule="auto"/>
              <w:ind w:firstLineChars="0" w:firstLine="0"/>
              <w:jc w:val="center"/>
              <w:rPr>
                <w:rFonts w:cs="Times New Roman"/>
                <w:sz w:val="21"/>
              </w:rPr>
            </w:pP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4</w:t>
            </w:r>
          </w:p>
        </w:tc>
      </w:tr>
      <w:tr w:rsidR="002C72DC" w:rsidRPr="00B85FA7" w:rsidTr="009E44E7">
        <w:trPr>
          <w:trHeight w:val="47"/>
          <w:jc w:val="center"/>
        </w:trPr>
        <w:tc>
          <w:tcPr>
            <w:tcW w:w="724"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sz w:val="21"/>
              </w:rPr>
              <w:t>D</w:t>
            </w:r>
            <w:r w:rsidRPr="00B85FA7">
              <w:rPr>
                <w:rFonts w:cs="Times New Roman" w:hint="eastAsia"/>
                <w:sz w:val="21"/>
              </w:rPr>
              <w:t>类</w:t>
            </w:r>
          </w:p>
        </w:tc>
        <w:tc>
          <w:tcPr>
            <w:tcW w:w="1402"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特殊控制站</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2</w:t>
            </w:r>
          </w:p>
        </w:tc>
        <w:tc>
          <w:tcPr>
            <w:tcW w:w="685" w:type="dxa"/>
            <w:tcMar>
              <w:top w:w="58" w:type="dxa"/>
              <w:left w:w="116" w:type="dxa"/>
              <w:bottom w:w="58" w:type="dxa"/>
              <w:right w:w="116" w:type="dxa"/>
            </w:tcMar>
            <w:vAlign w:val="center"/>
          </w:tcPr>
          <w:p w:rsidR="002C72DC" w:rsidRPr="00B85FA7" w:rsidRDefault="002C72DC">
            <w:pPr>
              <w:widowControl w:val="0"/>
              <w:spacing w:before="0" w:after="0" w:line="240" w:lineRule="auto"/>
              <w:ind w:firstLineChars="0" w:firstLine="0"/>
              <w:jc w:val="center"/>
              <w:rPr>
                <w:rFonts w:cs="Times New Roman"/>
                <w:sz w:val="21"/>
              </w:rPr>
            </w:pP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7"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1</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vAlign w:val="center"/>
          </w:tcPr>
          <w:p w:rsidR="002C72DC" w:rsidRPr="00B85FA7" w:rsidRDefault="002C72DC">
            <w:pPr>
              <w:widowControl w:val="0"/>
              <w:spacing w:before="0" w:after="0" w:line="240" w:lineRule="auto"/>
              <w:ind w:firstLineChars="0" w:firstLine="0"/>
              <w:jc w:val="center"/>
              <w:rPr>
                <w:rFonts w:cs="Times New Roman"/>
                <w:sz w:val="21"/>
              </w:rPr>
            </w:pP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2</w:t>
            </w:r>
          </w:p>
        </w:tc>
      </w:tr>
      <w:tr w:rsidR="002C72DC" w:rsidRPr="00B85FA7" w:rsidTr="009E44E7">
        <w:trPr>
          <w:trHeight w:val="192"/>
          <w:jc w:val="center"/>
        </w:trPr>
        <w:tc>
          <w:tcPr>
            <w:tcW w:w="724"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sz w:val="21"/>
              </w:rPr>
              <w:t>E</w:t>
            </w:r>
            <w:r w:rsidRPr="00B85FA7">
              <w:rPr>
                <w:rFonts w:cs="Times New Roman" w:hint="eastAsia"/>
                <w:sz w:val="21"/>
              </w:rPr>
              <w:t>类</w:t>
            </w:r>
          </w:p>
        </w:tc>
        <w:tc>
          <w:tcPr>
            <w:tcW w:w="1402"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端头站</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4</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4</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7"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2</w:t>
            </w:r>
          </w:p>
        </w:tc>
        <w:tc>
          <w:tcPr>
            <w:tcW w:w="685" w:type="dxa"/>
            <w:vAlign w:val="center"/>
          </w:tcPr>
          <w:p w:rsidR="002C72DC" w:rsidRPr="00B85FA7" w:rsidRDefault="002C72DC">
            <w:pPr>
              <w:widowControl w:val="0"/>
              <w:spacing w:before="0" w:after="0" w:line="240" w:lineRule="auto"/>
              <w:ind w:firstLineChars="0" w:firstLine="0"/>
              <w:jc w:val="center"/>
              <w:rPr>
                <w:rFonts w:cs="Times New Roman"/>
                <w:sz w:val="21"/>
              </w:rPr>
            </w:pP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2</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4</w:t>
            </w:r>
          </w:p>
        </w:tc>
      </w:tr>
      <w:tr w:rsidR="002C72DC" w:rsidRPr="00B85FA7" w:rsidTr="009E44E7">
        <w:trPr>
          <w:trHeight w:val="142"/>
          <w:jc w:val="center"/>
        </w:trPr>
        <w:tc>
          <w:tcPr>
            <w:tcW w:w="724"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sz w:val="21"/>
              </w:rPr>
              <w:t>F</w:t>
            </w:r>
            <w:r w:rsidRPr="00B85FA7">
              <w:rPr>
                <w:rFonts w:cs="Times New Roman" w:hint="eastAsia"/>
                <w:sz w:val="21"/>
              </w:rPr>
              <w:t>类</w:t>
            </w:r>
          </w:p>
        </w:tc>
        <w:tc>
          <w:tcPr>
            <w:tcW w:w="1402"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一般站</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2</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3</w:t>
            </w: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1</w:t>
            </w:r>
          </w:p>
        </w:tc>
        <w:tc>
          <w:tcPr>
            <w:tcW w:w="687"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5</w:t>
            </w:r>
          </w:p>
        </w:tc>
        <w:tc>
          <w:tcPr>
            <w:tcW w:w="685" w:type="dxa"/>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2</w:t>
            </w:r>
          </w:p>
        </w:tc>
        <w:tc>
          <w:tcPr>
            <w:tcW w:w="685" w:type="dxa"/>
            <w:vAlign w:val="center"/>
          </w:tcPr>
          <w:p w:rsidR="002C72DC" w:rsidRPr="00B85FA7" w:rsidRDefault="002C72DC">
            <w:pPr>
              <w:widowControl w:val="0"/>
              <w:spacing w:before="0" w:after="0" w:line="240" w:lineRule="auto"/>
              <w:ind w:firstLineChars="0" w:firstLine="0"/>
              <w:jc w:val="center"/>
              <w:rPr>
                <w:rFonts w:cs="Times New Roman"/>
                <w:sz w:val="21"/>
              </w:rPr>
            </w:pPr>
          </w:p>
        </w:tc>
        <w:tc>
          <w:tcPr>
            <w:tcW w:w="685" w:type="dxa"/>
            <w:vAlign w:val="center"/>
          </w:tcPr>
          <w:p w:rsidR="002C72DC" w:rsidRPr="00B85FA7" w:rsidRDefault="002C72DC">
            <w:pPr>
              <w:widowControl w:val="0"/>
              <w:spacing w:before="0" w:after="0" w:line="240" w:lineRule="auto"/>
              <w:ind w:firstLineChars="0" w:firstLine="0"/>
              <w:jc w:val="center"/>
              <w:rPr>
                <w:rFonts w:cs="Times New Roman"/>
                <w:sz w:val="21"/>
              </w:rPr>
            </w:pPr>
          </w:p>
        </w:tc>
        <w:tc>
          <w:tcPr>
            <w:tcW w:w="685" w:type="dxa"/>
            <w:tcMar>
              <w:top w:w="58" w:type="dxa"/>
              <w:left w:w="116" w:type="dxa"/>
              <w:bottom w:w="58" w:type="dxa"/>
              <w:right w:w="116" w:type="dxa"/>
            </w:tcMar>
            <w:vAlign w:val="center"/>
          </w:tcPr>
          <w:p w:rsidR="002C72DC" w:rsidRPr="00B85FA7" w:rsidRDefault="008411D0">
            <w:pPr>
              <w:widowControl w:val="0"/>
              <w:spacing w:before="0" w:after="0" w:line="240" w:lineRule="auto"/>
              <w:ind w:firstLineChars="0" w:firstLine="0"/>
              <w:jc w:val="center"/>
              <w:rPr>
                <w:rFonts w:cs="Times New Roman"/>
                <w:sz w:val="21"/>
              </w:rPr>
            </w:pPr>
            <w:r w:rsidRPr="00B85FA7">
              <w:rPr>
                <w:rFonts w:cs="Times New Roman" w:hint="eastAsia"/>
                <w:sz w:val="21"/>
              </w:rPr>
              <w:t>2</w:t>
            </w:r>
          </w:p>
        </w:tc>
      </w:tr>
    </w:tbl>
    <w:p w:rsidR="002C72DC" w:rsidRPr="00B85FA7" w:rsidRDefault="008411D0">
      <w:pPr>
        <w:widowControl w:val="0"/>
        <w:spacing w:line="240" w:lineRule="auto"/>
        <w:ind w:firstLineChars="0" w:firstLine="0"/>
        <w:rPr>
          <w:rFonts w:cs="宋体"/>
          <w:sz w:val="18"/>
          <w:szCs w:val="18"/>
        </w:rPr>
      </w:pPr>
      <w:r w:rsidRPr="00B85FA7">
        <w:rPr>
          <w:rFonts w:cs="宋体" w:hint="eastAsia"/>
          <w:sz w:val="18"/>
          <w:szCs w:val="18"/>
        </w:rPr>
        <w:t>注：数字越大，表示匹配度越高。</w:t>
      </w:r>
    </w:p>
    <w:p w:rsidR="002C72DC" w:rsidRPr="00B85FA7" w:rsidRDefault="008411D0" w:rsidP="00D23FDD">
      <w:pPr>
        <w:pStyle w:val="31"/>
      </w:pPr>
      <w:r w:rsidRPr="00B85FA7">
        <w:rPr>
          <w:rFonts w:hint="eastAsia"/>
        </w:rPr>
        <w:t>建设强度：轨道站点核心区及与轨道交通建设融资相关的潜力地块，其建设强度的确定应通过详细的投融资测算提出；轨道影响区内其余地块的建设强度应与《轨道沿线用地调整规划》相衔接</w:t>
      </w:r>
      <w:r w:rsidR="00A4619C" w:rsidRPr="00B85FA7">
        <w:rPr>
          <w:rFonts w:hint="eastAsia"/>
        </w:rPr>
        <w:t>；</w:t>
      </w:r>
      <w:r w:rsidRPr="00B85FA7">
        <w:rPr>
          <w:rFonts w:hint="eastAsia"/>
        </w:rPr>
        <w:t>片区整体建设强度应根据片区交通影响评价的结果进行校核。</w:t>
      </w:r>
    </w:p>
    <w:p w:rsidR="002C72DC" w:rsidRPr="00B85FA7" w:rsidRDefault="008411D0" w:rsidP="00D23FDD">
      <w:pPr>
        <w:pStyle w:val="31"/>
      </w:pPr>
      <w:r w:rsidRPr="00B85FA7">
        <w:rPr>
          <w:rFonts w:hint="eastAsia"/>
        </w:rPr>
        <w:t>功能混合：轨道站点核心区鼓励合理的功能混合，以保证站点地区</w:t>
      </w:r>
      <w:r w:rsidRPr="00B85FA7">
        <w:rPr>
          <w:rFonts w:hint="eastAsia"/>
        </w:rPr>
        <w:t>24</w:t>
      </w:r>
      <w:r w:rsidRPr="00B85FA7">
        <w:rPr>
          <w:rFonts w:hint="eastAsia"/>
        </w:rPr>
        <w:t>小时的活力。</w:t>
      </w:r>
    </w:p>
    <w:p w:rsidR="002C72DC" w:rsidRDefault="008411D0" w:rsidP="00D23FDD">
      <w:pPr>
        <w:pStyle w:val="31"/>
      </w:pPr>
      <w:r w:rsidRPr="00B85FA7">
        <w:rPr>
          <w:rFonts w:hint="eastAsia"/>
        </w:rPr>
        <w:t>分层控制：</w:t>
      </w:r>
      <w:r w:rsidR="00383AB3">
        <w:rPr>
          <w:rFonts w:hint="eastAsia"/>
        </w:rPr>
        <w:t>考虑</w:t>
      </w:r>
      <w:r w:rsidR="00383AB3">
        <w:t>到分层确定产权和办理规划手续的需要，</w:t>
      </w:r>
      <w:r w:rsidRPr="00B85FA7">
        <w:rPr>
          <w:rFonts w:hint="eastAsia"/>
        </w:rPr>
        <w:t>轨道站点核心区的功能与业态布局应分层分区做出详细规定，</w:t>
      </w:r>
      <w:r w:rsidR="00383AB3">
        <w:rPr>
          <w:rFonts w:hint="eastAsia"/>
        </w:rPr>
        <w:t>充分</w:t>
      </w:r>
      <w:r w:rsidR="00383AB3">
        <w:t>考虑时序要求，</w:t>
      </w:r>
      <w:r w:rsidR="00383AB3">
        <w:rPr>
          <w:rFonts w:hint="eastAsia"/>
        </w:rPr>
        <w:t>以便</w:t>
      </w:r>
      <w:r w:rsidR="00383AB3">
        <w:t>对分层</w:t>
      </w:r>
      <w:r w:rsidR="00383AB3">
        <w:lastRenderedPageBreak/>
        <w:t>开发做出引导。</w:t>
      </w:r>
    </w:p>
    <w:p w:rsidR="006013F4" w:rsidRPr="006013F4" w:rsidRDefault="006013F4" w:rsidP="00C66342">
      <w:pPr>
        <w:pStyle w:val="4"/>
        <w:numPr>
          <w:ilvl w:val="3"/>
          <w:numId w:val="22"/>
        </w:numPr>
        <w:rPr>
          <w:rFonts w:cs="Times New Roman"/>
          <w:kern w:val="0"/>
        </w:rPr>
      </w:pPr>
      <w:r w:rsidRPr="006013F4">
        <w:rPr>
          <w:rFonts w:cs="Times New Roman" w:hint="eastAsia"/>
          <w:kern w:val="0"/>
        </w:rPr>
        <w:t>以人行集散与换乘功能为主的公共空间应结合站点发展需要，贯穿设置于地面层、地下一、二层，以及地上二层，并应采用无障碍设计标准，设置一体化的垂直交通系统。</w:t>
      </w:r>
    </w:p>
    <w:p w:rsidR="006013F4" w:rsidRPr="006013F4" w:rsidRDefault="006013F4" w:rsidP="00C66342">
      <w:pPr>
        <w:pStyle w:val="4"/>
        <w:numPr>
          <w:ilvl w:val="3"/>
          <w:numId w:val="22"/>
        </w:numPr>
        <w:rPr>
          <w:rFonts w:cs="Times New Roman"/>
          <w:b/>
          <w:kern w:val="0"/>
        </w:rPr>
      </w:pPr>
      <w:r w:rsidRPr="00D3192B">
        <w:rPr>
          <w:rFonts w:cs="Times New Roman" w:hint="eastAsia"/>
          <w:kern w:val="0"/>
        </w:rPr>
        <w:t>与轨道接驳的交通换乘场站应设置在地面层、地下一层或地上二层。通过垂直交通实现快捷换乘。</w:t>
      </w:r>
    </w:p>
    <w:p w:rsidR="006013F4" w:rsidRPr="00C66342" w:rsidRDefault="006013F4" w:rsidP="00C66342">
      <w:pPr>
        <w:pStyle w:val="4"/>
        <w:numPr>
          <w:ilvl w:val="3"/>
          <w:numId w:val="22"/>
        </w:numPr>
        <w:rPr>
          <w:rFonts w:cs="Times New Roman"/>
          <w:b/>
          <w:kern w:val="0"/>
        </w:rPr>
      </w:pPr>
      <w:r w:rsidRPr="00D3192B">
        <w:rPr>
          <w:rFonts w:cs="Times New Roman" w:hint="eastAsia"/>
          <w:kern w:val="0"/>
        </w:rPr>
        <w:t>商业结合公共设施、地下空间及换乘空间布置于地下二层至地上四层；鼓励结合轨道站点及周边功能，安排地下商业服务设施。酒店、办公等对环境要求相对静谧的空间宜布置于地上三层及以上。</w:t>
      </w:r>
    </w:p>
    <w:p w:rsidR="006013F4" w:rsidRPr="00C66342" w:rsidRDefault="006013F4" w:rsidP="00C66342">
      <w:pPr>
        <w:pStyle w:val="4"/>
        <w:numPr>
          <w:ilvl w:val="3"/>
          <w:numId w:val="22"/>
        </w:numPr>
        <w:rPr>
          <w:rFonts w:cs="Times New Roman"/>
          <w:b/>
          <w:kern w:val="0"/>
        </w:rPr>
      </w:pPr>
      <w:r w:rsidRPr="00D3192B">
        <w:rPr>
          <w:rFonts w:cs="Times New Roman" w:hint="eastAsia"/>
          <w:kern w:val="0"/>
        </w:rPr>
        <w:t>为社区服务的文化娱乐设施、体育设施、教育设施及与之配套的开敞空间，在满足使用需求的基础上可布置于地下二层至地上四层</w:t>
      </w:r>
      <w:r w:rsidR="006102B8">
        <w:rPr>
          <w:rFonts w:cs="Times New Roman" w:hint="eastAsia"/>
          <w:kern w:val="0"/>
        </w:rPr>
        <w:t>。</w:t>
      </w:r>
    </w:p>
    <w:p w:rsidR="006013F4" w:rsidRPr="00C66342" w:rsidRDefault="006013F4" w:rsidP="00C66342">
      <w:pPr>
        <w:pStyle w:val="4"/>
        <w:numPr>
          <w:ilvl w:val="3"/>
          <w:numId w:val="22"/>
        </w:numPr>
        <w:rPr>
          <w:rFonts w:cs="Times New Roman"/>
          <w:kern w:val="0"/>
        </w:rPr>
      </w:pPr>
      <w:r w:rsidRPr="00C66342">
        <w:rPr>
          <w:rFonts w:cs="Times New Roman" w:hint="eastAsia"/>
          <w:kern w:val="0"/>
        </w:rPr>
        <w:t>中小学校、养老设施及与之配套的开敞空间，</w:t>
      </w:r>
      <w:r w:rsidRPr="00C66342">
        <w:rPr>
          <w:rFonts w:cs="Times New Roman" w:hint="eastAsia"/>
          <w:kern w:val="0"/>
          <w:szCs w:val="24"/>
        </w:rPr>
        <w:t>在满足使用需求的基础上可布置于地面层至地上四层。</w:t>
      </w:r>
      <w:r w:rsidRPr="00C66342">
        <w:rPr>
          <w:rFonts w:cs="Times New Roman"/>
          <w:kern w:val="0"/>
        </w:rPr>
        <w:t xml:space="preserve"> </w:t>
      </w:r>
    </w:p>
    <w:p w:rsidR="006013F4" w:rsidRDefault="006013F4" w:rsidP="00C66342">
      <w:pPr>
        <w:pStyle w:val="4"/>
        <w:numPr>
          <w:ilvl w:val="3"/>
          <w:numId w:val="22"/>
        </w:numPr>
        <w:rPr>
          <w:rFonts w:cs="Times New Roman"/>
          <w:kern w:val="0"/>
        </w:rPr>
      </w:pPr>
      <w:r w:rsidRPr="00C66342">
        <w:rPr>
          <w:rFonts w:cs="Times New Roman" w:hint="eastAsia"/>
          <w:kern w:val="0"/>
        </w:rPr>
        <w:t>停车设施宜布置于地下二层或以下。</w:t>
      </w:r>
    </w:p>
    <w:p w:rsidR="003668F2" w:rsidRPr="0067439B" w:rsidRDefault="003668F2" w:rsidP="0067439B">
      <w:pPr>
        <w:ind w:firstLine="360"/>
      </w:pPr>
      <w:r>
        <w:rPr>
          <w:rFonts w:hint="eastAsia"/>
        </w:rPr>
        <w:t>7</w:t>
      </w:r>
      <w:r w:rsidRPr="003668F2">
        <w:rPr>
          <w:rFonts w:hint="eastAsia"/>
        </w:rPr>
        <w:t>轨道交通设施或综合体可设置统一盖板层作为人工地面和避难层，其耐火等级应按不小于</w:t>
      </w:r>
      <w:r w:rsidRPr="003668F2">
        <w:rPr>
          <w:rFonts w:hint="eastAsia"/>
        </w:rPr>
        <w:t>4</w:t>
      </w:r>
      <w:r w:rsidR="00EA70B8">
        <w:rPr>
          <w:rFonts w:hint="eastAsia"/>
        </w:rPr>
        <w:t xml:space="preserve"> </w:t>
      </w:r>
      <w:r w:rsidR="00EA70B8">
        <w:t>h</w:t>
      </w:r>
      <w:r w:rsidRPr="003668F2">
        <w:rPr>
          <w:rFonts w:hint="eastAsia"/>
        </w:rPr>
        <w:t>设计，同时应设室外消防车道直接与地面相连。</w:t>
      </w:r>
    </w:p>
    <w:p w:rsidR="002C72DC" w:rsidRPr="00B85FA7" w:rsidRDefault="00291A3A">
      <w:pPr>
        <w:pStyle w:val="af3"/>
        <w:ind w:firstLineChars="0" w:firstLine="0"/>
        <w:jc w:val="center"/>
      </w:pPr>
      <w:r w:rsidRPr="00B85FA7">
        <w:rPr>
          <w:noProof/>
        </w:rPr>
        <w:drawing>
          <wp:inline distT="0" distB="0" distL="0" distR="0">
            <wp:extent cx="4886953" cy="2944139"/>
            <wp:effectExtent l="0" t="0" r="9525" b="8890"/>
            <wp:docPr id="27" name="图片框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6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175" t="11622" r="3787" b="13419"/>
                    <a:stretch/>
                  </pic:blipFill>
                  <pic:spPr bwMode="auto">
                    <a:xfrm>
                      <a:off x="0" y="0"/>
                      <a:ext cx="4921028" cy="2964668"/>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r w:rsidRPr="00B85FA7">
        <w:rPr>
          <w:rFonts w:hint="eastAsia"/>
        </w:rPr>
        <w:t>站点核心区功能竖向分层示意</w:t>
      </w:r>
    </w:p>
    <w:p w:rsidR="002C72DC" w:rsidRPr="00B85FA7" w:rsidRDefault="008411D0" w:rsidP="00D23FDD">
      <w:pPr>
        <w:pStyle w:val="2"/>
        <w:keepNext w:val="0"/>
        <w:keepLines w:val="0"/>
        <w:ind w:left="-238" w:firstLine="482"/>
      </w:pPr>
      <w:bookmarkStart w:id="72" w:name="_Toc407709889"/>
      <w:bookmarkStart w:id="73" w:name="_Toc398105663"/>
      <w:bookmarkStart w:id="74" w:name="_Toc435545798"/>
      <w:bookmarkEnd w:id="72"/>
      <w:r w:rsidRPr="00B85FA7">
        <w:rPr>
          <w:rFonts w:hint="eastAsia"/>
        </w:rPr>
        <w:lastRenderedPageBreak/>
        <w:t>空间</w:t>
      </w:r>
      <w:bookmarkEnd w:id="73"/>
      <w:r w:rsidRPr="00B85FA7">
        <w:rPr>
          <w:rFonts w:hint="eastAsia"/>
        </w:rPr>
        <w:t>一体化组织引导</w:t>
      </w:r>
      <w:bookmarkEnd w:id="74"/>
    </w:p>
    <w:p w:rsidR="002C72DC" w:rsidRPr="00B85FA7" w:rsidRDefault="008411D0" w:rsidP="00D23FDD">
      <w:pPr>
        <w:pStyle w:val="31"/>
      </w:pPr>
      <w:r w:rsidRPr="00B85FA7">
        <w:rPr>
          <w:rFonts w:hint="eastAsia"/>
        </w:rPr>
        <w:t>站点核心区空间组织应以站点为核心，周边各项开发应优先与轨道站点建立空间联系。以便捷、舒适的空间安排，保证轨道交通成为到发周边功能的首选交通方式。</w:t>
      </w:r>
    </w:p>
    <w:p w:rsidR="002C72DC" w:rsidRPr="00B85FA7" w:rsidRDefault="00C178D0" w:rsidP="00C178D0">
      <w:pPr>
        <w:pStyle w:val="31"/>
      </w:pPr>
      <w:r w:rsidRPr="00B85FA7">
        <w:rPr>
          <w:rFonts w:hint="eastAsia"/>
        </w:rPr>
        <w:t>站点核心区内与轨道站</w:t>
      </w:r>
      <w:proofErr w:type="gramStart"/>
      <w:r w:rsidRPr="00B85FA7">
        <w:rPr>
          <w:rFonts w:hint="eastAsia"/>
        </w:rPr>
        <w:t>点直接</w:t>
      </w:r>
      <w:proofErr w:type="gramEnd"/>
      <w:r w:rsidRPr="00B85FA7">
        <w:rPr>
          <w:rFonts w:hint="eastAsia"/>
        </w:rPr>
        <w:t>相邻的地块，应作为空间一体化设计的重点，其空间组织应充分考虑不同产权单位的使用需求和管理需要，在不同高程空间中明确权属边界和管理边界，明确不同权属空间的对接要求。</w:t>
      </w:r>
    </w:p>
    <w:p w:rsidR="002C72DC" w:rsidRPr="00B85FA7" w:rsidRDefault="008411D0" w:rsidP="00D23FDD">
      <w:pPr>
        <w:pStyle w:val="31"/>
      </w:pPr>
      <w:r w:rsidRPr="00B85FA7">
        <w:rPr>
          <w:rFonts w:hint="eastAsia"/>
        </w:rPr>
        <w:t>各类型站点的空间组织宜</w:t>
      </w:r>
      <w:r w:rsidRPr="00B85FA7">
        <w:t>采用以下</w:t>
      </w:r>
      <w:r w:rsidRPr="00B85FA7">
        <w:rPr>
          <w:rFonts w:hint="eastAsia"/>
        </w:rPr>
        <w:t>方式：</w:t>
      </w:r>
    </w:p>
    <w:p w:rsidR="002C72DC" w:rsidRPr="00B85FA7" w:rsidRDefault="008411D0" w:rsidP="00C66342">
      <w:pPr>
        <w:pStyle w:val="4"/>
        <w:numPr>
          <w:ilvl w:val="3"/>
          <w:numId w:val="78"/>
        </w:numPr>
      </w:pPr>
      <w:r w:rsidRPr="00B85FA7">
        <w:rPr>
          <w:rFonts w:hint="eastAsia"/>
        </w:rPr>
        <w:t>枢纽站：鼓励结合交通换乘功能设置广场、中庭、下沉广场或高架平台等公共开敞空间，以适应短期内承载大量人流集散的功能。</w:t>
      </w:r>
    </w:p>
    <w:p w:rsidR="002C72DC" w:rsidRPr="00B85FA7" w:rsidRDefault="008411D0" w:rsidP="004D1B52">
      <w:pPr>
        <w:pStyle w:val="4"/>
      </w:pPr>
      <w:r w:rsidRPr="00B85FA7">
        <w:rPr>
          <w:rFonts w:hint="eastAsia"/>
        </w:rPr>
        <w:t>中心站、组团站：鼓励结合轨道站点设置中庭、下沉广场或高架平台等公共空间，作为空间组织的视觉中心，增加轨道站点对周边地区的辐射吸引力。</w:t>
      </w:r>
    </w:p>
    <w:p w:rsidR="002C72DC" w:rsidRPr="00B85FA7" w:rsidRDefault="00291A3A">
      <w:pPr>
        <w:pStyle w:val="af3"/>
        <w:ind w:firstLineChars="0" w:firstLine="0"/>
        <w:jc w:val="center"/>
      </w:pPr>
      <w:r w:rsidRPr="00B85FA7">
        <w:rPr>
          <w:noProof/>
        </w:rPr>
        <w:drawing>
          <wp:inline distT="0" distB="0" distL="0" distR="0">
            <wp:extent cx="3954780" cy="3208020"/>
            <wp:effectExtent l="0" t="0" r="7620" b="0"/>
            <wp:docPr id="28" name="图片框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54780" cy="3208020"/>
                    </a:xfrm>
                    <a:prstGeom prst="rect">
                      <a:avLst/>
                    </a:prstGeom>
                    <a:noFill/>
                    <a:ln>
                      <a:noFill/>
                    </a:ln>
                  </pic:spPr>
                </pic:pic>
              </a:graphicData>
            </a:graphic>
          </wp:inline>
        </w:drawing>
      </w:r>
    </w:p>
    <w:p w:rsidR="002C72DC" w:rsidRPr="00B85FA7" w:rsidRDefault="008411D0">
      <w:pPr>
        <w:pStyle w:val="a"/>
      </w:pPr>
      <w:r w:rsidRPr="00B85FA7">
        <w:rPr>
          <w:rFonts w:hint="eastAsia"/>
        </w:rPr>
        <w:t>通过高架平台形成公共中心</w:t>
      </w:r>
    </w:p>
    <w:p w:rsidR="002C72DC" w:rsidRPr="00B85FA7" w:rsidRDefault="008411D0" w:rsidP="004D1B52">
      <w:pPr>
        <w:pStyle w:val="4"/>
      </w:pPr>
      <w:r w:rsidRPr="00B85FA7">
        <w:rPr>
          <w:rFonts w:hint="eastAsia"/>
        </w:rPr>
        <w:t>特殊站：应根据基地整体空间组织要求组织空间结构。</w:t>
      </w:r>
    </w:p>
    <w:p w:rsidR="002C72DC" w:rsidRPr="00B85FA7" w:rsidRDefault="008411D0" w:rsidP="004D1B52">
      <w:pPr>
        <w:pStyle w:val="4"/>
      </w:pPr>
      <w:r w:rsidRPr="00B85FA7">
        <w:rPr>
          <w:rFonts w:hint="eastAsia"/>
        </w:rPr>
        <w:t>端头站：鼓励将轨道站点作为空间组织的视觉中心，通过规模合理的绿</w:t>
      </w:r>
      <w:r w:rsidRPr="00B85FA7">
        <w:rPr>
          <w:rFonts w:hint="eastAsia"/>
        </w:rPr>
        <w:lastRenderedPageBreak/>
        <w:t>地、绿道及开敞空间的设置，紧密衔接站点与车辆段上盖开发空间。采用人车分行的立体化布局，妥善处理换乘交通和上盖开发集散交通的关系。</w:t>
      </w:r>
    </w:p>
    <w:p w:rsidR="002C72DC" w:rsidRPr="00B85FA7" w:rsidRDefault="00291A3A">
      <w:pPr>
        <w:pStyle w:val="af3"/>
        <w:ind w:firstLineChars="0" w:firstLine="0"/>
      </w:pPr>
      <w:r w:rsidRPr="00B85FA7">
        <w:rPr>
          <w:noProof/>
        </w:rPr>
        <w:drawing>
          <wp:inline distT="0" distB="0" distL="0" distR="0">
            <wp:extent cx="5250180" cy="1706880"/>
            <wp:effectExtent l="0" t="0" r="7620" b="7620"/>
            <wp:docPr id="2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50180" cy="1706880"/>
                    </a:xfrm>
                    <a:prstGeom prst="rect">
                      <a:avLst/>
                    </a:prstGeom>
                    <a:noFill/>
                    <a:ln>
                      <a:noFill/>
                    </a:ln>
                  </pic:spPr>
                </pic:pic>
              </a:graphicData>
            </a:graphic>
          </wp:inline>
        </w:drawing>
      </w:r>
    </w:p>
    <w:p w:rsidR="002C72DC" w:rsidRPr="00B85FA7" w:rsidRDefault="008411D0">
      <w:pPr>
        <w:pStyle w:val="a"/>
      </w:pPr>
      <w:r w:rsidRPr="00B85FA7">
        <w:rPr>
          <w:rFonts w:hint="eastAsia"/>
        </w:rPr>
        <w:t>鼓励</w:t>
      </w:r>
      <w:r w:rsidRPr="00B85FA7">
        <w:t>人车分行的立体化布局</w:t>
      </w:r>
    </w:p>
    <w:p w:rsidR="002C72DC" w:rsidRPr="00B85FA7" w:rsidRDefault="008411D0" w:rsidP="004D1B52">
      <w:pPr>
        <w:pStyle w:val="4"/>
      </w:pPr>
      <w:r w:rsidRPr="00B85FA7">
        <w:rPr>
          <w:rFonts w:hint="eastAsia"/>
        </w:rPr>
        <w:t>一般站：鼓励通过线形步行路径串联站点周边功能，整合交通换乘设施，延长轨道站点的商业服务界面，营造全天候、高质量的步行空间。</w:t>
      </w:r>
    </w:p>
    <w:p w:rsidR="002C72DC" w:rsidRPr="00B85FA7" w:rsidRDefault="00291A3A">
      <w:pPr>
        <w:pStyle w:val="af3"/>
        <w:ind w:firstLineChars="0" w:firstLine="0"/>
        <w:jc w:val="center"/>
      </w:pPr>
      <w:r w:rsidRPr="00B85FA7">
        <w:rPr>
          <w:noProof/>
        </w:rPr>
        <w:drawing>
          <wp:inline distT="0" distB="0" distL="0" distR="0">
            <wp:extent cx="4472940" cy="3208020"/>
            <wp:effectExtent l="0" t="0" r="3810" b="0"/>
            <wp:docPr id="30" name="图片框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55"/>
                    <pic:cNvPicPr>
                      <a:picLocks noChangeAspect="1" noChangeArrowheads="1"/>
                    </pic:cNvPicPr>
                  </pic:nvPicPr>
                  <pic:blipFill>
                    <a:blip r:embed="rId40">
                      <a:extLst>
                        <a:ext uri="{28A0092B-C50C-407E-A947-70E740481C1C}">
                          <a14:useLocalDpi xmlns:a14="http://schemas.microsoft.com/office/drawing/2010/main" val="0"/>
                        </a:ext>
                      </a:extLst>
                    </a:blip>
                    <a:srcRect l="13181" t="11365"/>
                    <a:stretch>
                      <a:fillRect/>
                    </a:stretch>
                  </pic:blipFill>
                  <pic:spPr bwMode="auto">
                    <a:xfrm>
                      <a:off x="0" y="0"/>
                      <a:ext cx="4472940" cy="3208020"/>
                    </a:xfrm>
                    <a:prstGeom prst="rect">
                      <a:avLst/>
                    </a:prstGeom>
                    <a:noFill/>
                    <a:ln>
                      <a:noFill/>
                    </a:ln>
                  </pic:spPr>
                </pic:pic>
              </a:graphicData>
            </a:graphic>
          </wp:inline>
        </w:drawing>
      </w:r>
    </w:p>
    <w:p w:rsidR="002C72DC" w:rsidRPr="00B85FA7" w:rsidRDefault="008411D0">
      <w:pPr>
        <w:pStyle w:val="a"/>
      </w:pPr>
      <w:r w:rsidRPr="00B85FA7">
        <w:rPr>
          <w:rFonts w:hint="eastAsia"/>
        </w:rPr>
        <w:t>以线性空间延长服务界面</w:t>
      </w:r>
    </w:p>
    <w:p w:rsidR="002C72DC" w:rsidRPr="00B85FA7" w:rsidRDefault="008411D0" w:rsidP="00D23FDD">
      <w:pPr>
        <w:pStyle w:val="2"/>
        <w:keepNext w:val="0"/>
        <w:keepLines w:val="0"/>
      </w:pPr>
      <w:bookmarkStart w:id="75" w:name="_Toc398105665"/>
      <w:bookmarkStart w:id="76" w:name="_Toc435545799"/>
      <w:bookmarkStart w:id="77" w:name="_Toc398105664"/>
      <w:r w:rsidRPr="00B85FA7">
        <w:rPr>
          <w:rFonts w:hint="eastAsia"/>
        </w:rPr>
        <w:t>交通</w:t>
      </w:r>
      <w:bookmarkEnd w:id="75"/>
      <w:r w:rsidRPr="00B85FA7">
        <w:rPr>
          <w:rFonts w:hint="eastAsia"/>
        </w:rPr>
        <w:t>衔接设计引导</w:t>
      </w:r>
      <w:bookmarkEnd w:id="76"/>
    </w:p>
    <w:p w:rsidR="002C72DC" w:rsidRPr="00B85FA7" w:rsidRDefault="008411D0" w:rsidP="00D23FDD">
      <w:pPr>
        <w:pStyle w:val="31"/>
      </w:pPr>
      <w:r w:rsidRPr="00B85FA7">
        <w:rPr>
          <w:rFonts w:hint="eastAsia"/>
        </w:rPr>
        <w:t>轨道站点核心区内主、次干路和支路均应配置完整的步行和自行车道，步行和自行车道单侧宽度均不宜小于</w:t>
      </w:r>
      <w:r w:rsidRPr="00B85FA7">
        <w:t>3 m</w:t>
      </w:r>
      <w:r w:rsidRPr="00B85FA7">
        <w:rPr>
          <w:rFonts w:hint="eastAsia"/>
        </w:rPr>
        <w:t>。</w:t>
      </w:r>
    </w:p>
    <w:p w:rsidR="002C72DC" w:rsidRPr="00B85FA7" w:rsidRDefault="008411D0" w:rsidP="00D23FDD">
      <w:pPr>
        <w:pStyle w:val="31"/>
      </w:pPr>
      <w:r w:rsidRPr="00B85FA7">
        <w:rPr>
          <w:rFonts w:hint="eastAsia"/>
        </w:rPr>
        <w:lastRenderedPageBreak/>
        <w:t>轨道站点核心区内的步行和自行车过街设施间距不宜大于</w:t>
      </w:r>
      <w:r w:rsidRPr="00B85FA7">
        <w:t>200 m</w:t>
      </w:r>
      <w:r w:rsidRPr="00B85FA7">
        <w:t>，</w:t>
      </w:r>
      <w:r w:rsidRPr="00B85FA7">
        <w:rPr>
          <w:rFonts w:hint="eastAsia"/>
        </w:rPr>
        <w:t>即使设置了立体过街通道，仍应</w:t>
      </w:r>
      <w:r w:rsidRPr="00B85FA7">
        <w:t>保证平面过街方式。人行横道长度大于</w:t>
      </w:r>
      <w:r w:rsidRPr="00B85FA7">
        <w:t>16 m</w:t>
      </w:r>
      <w:r w:rsidRPr="00B85FA7">
        <w:t>时，应设置行人过街安全岛。</w:t>
      </w:r>
    </w:p>
    <w:p w:rsidR="002C72DC" w:rsidRPr="00B85FA7" w:rsidRDefault="008411D0" w:rsidP="00D23FDD">
      <w:pPr>
        <w:pStyle w:val="31"/>
      </w:pPr>
      <w:r w:rsidRPr="00B85FA7">
        <w:rPr>
          <w:rFonts w:hint="eastAsia"/>
        </w:rPr>
        <w:t>轨道站点影响区内自行车道与机动车道应采用物理隔离，在支路上可采用非连续的物理隔离。</w:t>
      </w:r>
    </w:p>
    <w:p w:rsidR="002C72DC" w:rsidRPr="00B85FA7" w:rsidRDefault="008411D0" w:rsidP="00D23FDD">
      <w:pPr>
        <w:pStyle w:val="31"/>
      </w:pPr>
      <w:r w:rsidRPr="00B85FA7">
        <w:rPr>
          <w:rFonts w:hint="eastAsia"/>
        </w:rPr>
        <w:t>轨道站点交通换乘设施布置应遵循以下原则：</w:t>
      </w:r>
    </w:p>
    <w:p w:rsidR="002C72DC" w:rsidRPr="00B85FA7" w:rsidRDefault="008411D0" w:rsidP="00E174E9">
      <w:pPr>
        <w:pStyle w:val="4"/>
        <w:numPr>
          <w:ilvl w:val="3"/>
          <w:numId w:val="23"/>
        </w:numPr>
      </w:pPr>
      <w:r w:rsidRPr="00B85FA7">
        <w:rPr>
          <w:rFonts w:hint="eastAsia"/>
        </w:rPr>
        <w:t>与站点设计相协调，合理布置换乘交通设施，使换乘总时间控制在合理范围内。步行距离较长时，可设置自动人行道和自动扶梯。</w:t>
      </w:r>
    </w:p>
    <w:p w:rsidR="002C72DC" w:rsidRPr="00B85FA7" w:rsidRDefault="008411D0" w:rsidP="00E83444">
      <w:pPr>
        <w:pStyle w:val="4"/>
      </w:pPr>
      <w:r w:rsidRPr="00B85FA7">
        <w:rPr>
          <w:rFonts w:hint="eastAsia"/>
        </w:rPr>
        <w:t>从时间、空间和管理上综合考虑换乘流线，减少人流与车流的冲突，减少不同机动车流线的</w:t>
      </w:r>
      <w:r w:rsidR="00422004" w:rsidRPr="00B85FA7">
        <w:rPr>
          <w:rFonts w:hint="eastAsia"/>
        </w:rPr>
        <w:t>相</w:t>
      </w:r>
      <w:r w:rsidRPr="00B85FA7">
        <w:rPr>
          <w:rFonts w:hint="eastAsia"/>
        </w:rPr>
        <w:t>互干扰，结合场站的合理布置，形成顺畅的交通流线。</w:t>
      </w:r>
    </w:p>
    <w:p w:rsidR="002C72DC" w:rsidRPr="00B85FA7" w:rsidRDefault="008411D0" w:rsidP="00E83444">
      <w:pPr>
        <w:pStyle w:val="4"/>
      </w:pPr>
      <w:r w:rsidRPr="00B85FA7">
        <w:rPr>
          <w:rFonts w:hint="eastAsia"/>
        </w:rPr>
        <w:t>各类交通方式的换乘距离应满足</w:t>
      </w:r>
      <w:r w:rsidRPr="00B85FA7">
        <w:t>6.5.2-5</w:t>
      </w:r>
      <w:r w:rsidRPr="00B85FA7">
        <w:rPr>
          <w:rFonts w:hint="eastAsia"/>
        </w:rPr>
        <w:t>的规定。</w:t>
      </w:r>
    </w:p>
    <w:p w:rsidR="002C72DC" w:rsidRPr="00B85FA7" w:rsidRDefault="008411D0" w:rsidP="00D23FDD">
      <w:pPr>
        <w:pStyle w:val="31"/>
      </w:pPr>
      <w:r w:rsidRPr="00B85FA7">
        <w:rPr>
          <w:rFonts w:hint="eastAsia"/>
        </w:rPr>
        <w:t>自行车停车设施的</w:t>
      </w:r>
      <w:r w:rsidRPr="00B85FA7">
        <w:t>规划与</w:t>
      </w:r>
      <w:r w:rsidRPr="00B85FA7">
        <w:rPr>
          <w:rFonts w:hint="eastAsia"/>
        </w:rPr>
        <w:t>设计</w:t>
      </w:r>
      <w:r w:rsidRPr="00B85FA7">
        <w:t>应满足以下</w:t>
      </w:r>
      <w:r w:rsidRPr="00B85FA7">
        <w:rPr>
          <w:rFonts w:hint="eastAsia"/>
        </w:rPr>
        <w:t>原则</w:t>
      </w:r>
      <w:r w:rsidRPr="00B85FA7">
        <w:t>和</w:t>
      </w:r>
      <w:r w:rsidRPr="00B85FA7">
        <w:rPr>
          <w:rFonts w:hint="eastAsia"/>
        </w:rPr>
        <w:t>要求：</w:t>
      </w:r>
    </w:p>
    <w:p w:rsidR="002C72DC" w:rsidRPr="00B85FA7" w:rsidRDefault="008411D0" w:rsidP="00E174E9">
      <w:pPr>
        <w:pStyle w:val="4"/>
        <w:numPr>
          <w:ilvl w:val="3"/>
          <w:numId w:val="24"/>
        </w:numPr>
      </w:pPr>
      <w:r w:rsidRPr="00B85FA7">
        <w:rPr>
          <w:rFonts w:hint="eastAsia"/>
        </w:rPr>
        <w:t>自行车停车场应根据服务对象性质及用地条件，采用分散与集中相结合的布设原则。集中布置的自行车停车场应设有换乘步行廊道。</w:t>
      </w:r>
    </w:p>
    <w:p w:rsidR="002C72DC" w:rsidRPr="00B85FA7" w:rsidRDefault="008411D0" w:rsidP="00E83444">
      <w:pPr>
        <w:pStyle w:val="4"/>
      </w:pPr>
      <w:r w:rsidRPr="00B85FA7">
        <w:rPr>
          <w:rFonts w:hint="eastAsia"/>
        </w:rPr>
        <w:t>可在人行道外侧或绿化带上布设自行车停车场，应避免自行车停放占用道路空间。</w:t>
      </w:r>
    </w:p>
    <w:p w:rsidR="002C72DC" w:rsidRPr="00B85FA7" w:rsidRDefault="008411D0" w:rsidP="00E83444">
      <w:pPr>
        <w:pStyle w:val="4"/>
      </w:pPr>
      <w:r w:rsidRPr="00B85FA7">
        <w:rPr>
          <w:rFonts w:hint="eastAsia"/>
        </w:rPr>
        <w:t>应结合周边建筑开发增加配建或利用轨道站点设施布设自行车停车场。公交站点和建筑宜就近配置自行车停车设施。</w:t>
      </w:r>
    </w:p>
    <w:p w:rsidR="002C72DC" w:rsidRPr="00B85FA7" w:rsidRDefault="008411D0" w:rsidP="00E83444">
      <w:pPr>
        <w:pStyle w:val="4"/>
      </w:pPr>
      <w:r w:rsidRPr="00B85FA7">
        <w:rPr>
          <w:rFonts w:hint="eastAsia"/>
        </w:rPr>
        <w:t>居住社区附近的站点，宜将站点和社区的自行车道系统、自行车换乘停车场和社区停放场站进行一体规划。</w:t>
      </w:r>
    </w:p>
    <w:p w:rsidR="002C72DC" w:rsidRPr="00B85FA7" w:rsidRDefault="008411D0" w:rsidP="00E83444">
      <w:pPr>
        <w:pStyle w:val="4"/>
      </w:pPr>
      <w:r w:rsidRPr="00B85FA7">
        <w:rPr>
          <w:rFonts w:hint="eastAsia"/>
        </w:rPr>
        <w:t>有公共自行车系统的城市宜优先在轨道站点核心区内提供服务。站点周边设置公共自行车租赁点时，自行车换乘停车场宜与公共自行车停车场合并设置。</w:t>
      </w:r>
    </w:p>
    <w:p w:rsidR="002C72DC" w:rsidRPr="00B85FA7" w:rsidRDefault="00291A3A">
      <w:pPr>
        <w:pStyle w:val="af3"/>
        <w:ind w:firstLineChars="0" w:firstLine="0"/>
        <w:jc w:val="center"/>
      </w:pPr>
      <w:r w:rsidRPr="00B85FA7">
        <w:rPr>
          <w:noProof/>
        </w:rPr>
        <w:lastRenderedPageBreak/>
        <w:drawing>
          <wp:inline distT="0" distB="0" distL="0" distR="0">
            <wp:extent cx="4998720" cy="2164080"/>
            <wp:effectExtent l="0" t="0" r="0" b="7620"/>
            <wp:docPr id="31" name="图片框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6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98720" cy="2164080"/>
                    </a:xfrm>
                    <a:prstGeom prst="rect">
                      <a:avLst/>
                    </a:prstGeom>
                    <a:noFill/>
                    <a:ln>
                      <a:noFill/>
                    </a:ln>
                  </pic:spPr>
                </pic:pic>
              </a:graphicData>
            </a:graphic>
          </wp:inline>
        </w:drawing>
      </w:r>
    </w:p>
    <w:p w:rsidR="002C72DC" w:rsidRPr="00B85FA7" w:rsidRDefault="008411D0">
      <w:pPr>
        <w:pStyle w:val="a"/>
      </w:pPr>
      <w:r w:rsidRPr="00B85FA7">
        <w:rPr>
          <w:rFonts w:hint="eastAsia"/>
        </w:rPr>
        <w:t>自行车停车场布置示例</w:t>
      </w:r>
    </w:p>
    <w:p w:rsidR="002C72DC" w:rsidRPr="00B85FA7" w:rsidRDefault="00B92CC3" w:rsidP="00D23FDD">
      <w:pPr>
        <w:pStyle w:val="31"/>
      </w:pPr>
      <w:r w:rsidRPr="00B85FA7">
        <w:rPr>
          <w:rFonts w:hint="eastAsia"/>
        </w:rPr>
        <w:t>公交换乘场站</w:t>
      </w:r>
      <w:r w:rsidR="008411D0" w:rsidRPr="00B85FA7">
        <w:rPr>
          <w:rFonts w:hint="eastAsia"/>
        </w:rPr>
        <w:t>规划</w:t>
      </w:r>
      <w:r w:rsidR="008411D0" w:rsidRPr="00B85FA7">
        <w:t>与设计</w:t>
      </w:r>
      <w:r w:rsidR="008411D0" w:rsidRPr="00B85FA7">
        <w:rPr>
          <w:rFonts w:hint="eastAsia"/>
        </w:rPr>
        <w:t>应满足以下原则和要求：</w:t>
      </w:r>
    </w:p>
    <w:p w:rsidR="002C72DC" w:rsidRPr="00B85FA7" w:rsidRDefault="00B92CC3" w:rsidP="00E174E9">
      <w:pPr>
        <w:pStyle w:val="4"/>
        <w:numPr>
          <w:ilvl w:val="3"/>
          <w:numId w:val="25"/>
        </w:numPr>
      </w:pPr>
      <w:r w:rsidRPr="00B85FA7">
        <w:rPr>
          <w:rFonts w:hint="eastAsia"/>
        </w:rPr>
        <w:t>公交换乘场站</w:t>
      </w:r>
      <w:r w:rsidR="008411D0" w:rsidRPr="00B85FA7">
        <w:rPr>
          <w:rFonts w:hint="eastAsia"/>
        </w:rPr>
        <w:t>应具备到发停车、上下客与换乘、运营调度管理等功能空间。</w:t>
      </w:r>
    </w:p>
    <w:p w:rsidR="002C72DC" w:rsidRPr="00B85FA7" w:rsidRDefault="00B92CC3" w:rsidP="00E83444">
      <w:pPr>
        <w:pStyle w:val="4"/>
      </w:pPr>
      <w:r w:rsidRPr="00B85FA7">
        <w:rPr>
          <w:rFonts w:hint="eastAsia"/>
        </w:rPr>
        <w:t>公交换乘场站</w:t>
      </w:r>
      <w:r w:rsidR="008411D0" w:rsidRPr="00B85FA7">
        <w:rPr>
          <w:rFonts w:hint="eastAsia"/>
        </w:rPr>
        <w:t>内部停车位车辆停放方式可采用平行式和斜列式，总体分布一般可采用</w:t>
      </w:r>
      <w:r w:rsidR="004C470F" w:rsidRPr="00B85FA7">
        <w:rPr>
          <w:rFonts w:hint="eastAsia"/>
        </w:rPr>
        <w:t>线行</w:t>
      </w:r>
      <w:r w:rsidR="008411D0" w:rsidRPr="00B85FA7">
        <w:rPr>
          <w:rFonts w:hint="eastAsia"/>
        </w:rPr>
        <w:t>式、锯齿式、斜列式、中间分割岛式等。</w:t>
      </w:r>
    </w:p>
    <w:p w:rsidR="002C72DC" w:rsidRPr="00B85FA7" w:rsidRDefault="00B92CC3" w:rsidP="00E83444">
      <w:pPr>
        <w:pStyle w:val="4"/>
      </w:pPr>
      <w:r w:rsidRPr="00B85FA7">
        <w:rPr>
          <w:rFonts w:hint="eastAsia"/>
        </w:rPr>
        <w:t>公交换乘场站</w:t>
      </w:r>
      <w:r w:rsidR="008411D0" w:rsidRPr="00B85FA7">
        <w:rPr>
          <w:rFonts w:hint="eastAsia"/>
        </w:rPr>
        <w:t>行人出入口应与车辆出入口分离设置，行人出入口应与轨道交通站点站前广场或人行步道连通，宽度宜与步行交通设施宽度相适应，场站内部尽量人车分离。</w:t>
      </w:r>
    </w:p>
    <w:p w:rsidR="002C72DC" w:rsidRPr="00B85FA7" w:rsidRDefault="00B92CC3" w:rsidP="00E83444">
      <w:pPr>
        <w:pStyle w:val="4"/>
      </w:pPr>
      <w:r w:rsidRPr="00B85FA7">
        <w:rPr>
          <w:rFonts w:hint="eastAsia"/>
        </w:rPr>
        <w:t>公交换乘场站</w:t>
      </w:r>
      <w:r w:rsidR="008411D0" w:rsidRPr="00B85FA7">
        <w:rPr>
          <w:rFonts w:hint="eastAsia"/>
        </w:rPr>
        <w:t>出入口应设在次干路或支路上，避开人行横道、公交车站及桥隧引道。</w:t>
      </w:r>
    </w:p>
    <w:p w:rsidR="002C72DC" w:rsidRPr="00B85FA7" w:rsidRDefault="008411D0" w:rsidP="00E83444">
      <w:pPr>
        <w:pStyle w:val="4"/>
      </w:pPr>
      <w:r w:rsidRPr="00B85FA7">
        <w:rPr>
          <w:rFonts w:hint="eastAsia"/>
        </w:rPr>
        <w:t>车辆进出</w:t>
      </w:r>
      <w:r w:rsidR="00B92CC3" w:rsidRPr="00B85FA7">
        <w:rPr>
          <w:rFonts w:hint="eastAsia"/>
        </w:rPr>
        <w:t>公交换乘场站</w:t>
      </w:r>
      <w:r w:rsidRPr="00B85FA7">
        <w:rPr>
          <w:rFonts w:hint="eastAsia"/>
        </w:rPr>
        <w:t>，应尽可能提供优先通行专用车道或专用信号。</w:t>
      </w:r>
    </w:p>
    <w:p w:rsidR="002C72DC" w:rsidRPr="00B85FA7" w:rsidRDefault="008411D0" w:rsidP="00E83444">
      <w:pPr>
        <w:pStyle w:val="4"/>
      </w:pPr>
      <w:r w:rsidRPr="00B85FA7">
        <w:rPr>
          <w:rFonts w:hint="eastAsia"/>
        </w:rPr>
        <w:t>场地布置应注意竖向的控制要求，出入口的坡度等须符合相关规范要求，且表面使用粗面或其他防滑材质。</w:t>
      </w:r>
    </w:p>
    <w:p w:rsidR="002C72DC" w:rsidRPr="00B85FA7" w:rsidRDefault="00B92CC3" w:rsidP="00E83444">
      <w:pPr>
        <w:pStyle w:val="4"/>
      </w:pPr>
      <w:r w:rsidRPr="00B85FA7">
        <w:rPr>
          <w:rFonts w:hint="eastAsia"/>
        </w:rPr>
        <w:t>公交换乘场站</w:t>
      </w:r>
      <w:r w:rsidR="008411D0" w:rsidRPr="00B85FA7">
        <w:rPr>
          <w:rFonts w:hint="eastAsia"/>
        </w:rPr>
        <w:t>一般采用开敞式或半开敞式场地，与建筑物结合设置的</w:t>
      </w:r>
      <w:r w:rsidRPr="00B85FA7">
        <w:rPr>
          <w:rFonts w:hint="eastAsia"/>
        </w:rPr>
        <w:t>公交换乘场站</w:t>
      </w:r>
      <w:r w:rsidR="00785E06" w:rsidRPr="00B85FA7">
        <w:rPr>
          <w:rFonts w:hint="eastAsia"/>
        </w:rPr>
        <w:t>，</w:t>
      </w:r>
      <w:r w:rsidR="008411D0" w:rsidRPr="00B85FA7">
        <w:rPr>
          <w:rFonts w:hint="eastAsia"/>
        </w:rPr>
        <w:t>空间高度一般应在</w:t>
      </w:r>
      <w:r w:rsidR="008411D0" w:rsidRPr="00B85FA7">
        <w:t>5 m</w:t>
      </w:r>
      <w:r w:rsidR="008411D0" w:rsidRPr="00B85FA7">
        <w:rPr>
          <w:rFonts w:hint="eastAsia"/>
        </w:rPr>
        <w:t>以上，并充分考虑排除尾气污染的通风设施。鼓励通过建筑设计将自然光线引入换乘核心区域。</w:t>
      </w:r>
    </w:p>
    <w:p w:rsidR="002C72DC" w:rsidRPr="00B85FA7" w:rsidRDefault="008411D0" w:rsidP="00E83444">
      <w:pPr>
        <w:pStyle w:val="4"/>
      </w:pPr>
      <w:r w:rsidRPr="00B85FA7">
        <w:rPr>
          <w:rFonts w:hint="eastAsia"/>
        </w:rPr>
        <w:t>应充分利用街坊空间或周边支路，安排小型公交换乘场站。</w:t>
      </w:r>
    </w:p>
    <w:p w:rsidR="002C72DC" w:rsidRPr="00B85FA7" w:rsidRDefault="008411D0">
      <w:pPr>
        <w:pStyle w:val="31"/>
      </w:pPr>
      <w:r w:rsidRPr="00B85FA7">
        <w:rPr>
          <w:rFonts w:hint="eastAsia"/>
        </w:rPr>
        <w:t>出租汽车换乘设施布置及交通组织应满足以下原则和要求：</w:t>
      </w:r>
    </w:p>
    <w:p w:rsidR="002C72DC" w:rsidRPr="00B85FA7" w:rsidRDefault="008411D0" w:rsidP="00E174E9">
      <w:pPr>
        <w:pStyle w:val="4"/>
        <w:numPr>
          <w:ilvl w:val="3"/>
          <w:numId w:val="26"/>
        </w:numPr>
      </w:pPr>
      <w:r w:rsidRPr="00B85FA7">
        <w:rPr>
          <w:rFonts w:hint="eastAsia"/>
        </w:rPr>
        <w:lastRenderedPageBreak/>
        <w:t>出租汽车换乘设施车辆出入口</w:t>
      </w:r>
      <w:proofErr w:type="gramStart"/>
      <w:r w:rsidRPr="00B85FA7">
        <w:rPr>
          <w:rFonts w:hint="eastAsia"/>
        </w:rPr>
        <w:t>宜设置</w:t>
      </w:r>
      <w:proofErr w:type="gramEnd"/>
      <w:r w:rsidRPr="00B85FA7">
        <w:rPr>
          <w:rFonts w:hint="eastAsia"/>
        </w:rPr>
        <w:t>在次干路或支路上，尽量减少车辆进出对道路交通的影响；换乘客流大时宜设置专用的步行通道与轨道站点相连。</w:t>
      </w:r>
    </w:p>
    <w:p w:rsidR="002C72DC" w:rsidRPr="00B85FA7" w:rsidRDefault="008411D0" w:rsidP="00E83444">
      <w:pPr>
        <w:pStyle w:val="4"/>
      </w:pPr>
      <w:r w:rsidRPr="00B85FA7">
        <w:rPr>
          <w:rFonts w:hint="eastAsia"/>
        </w:rPr>
        <w:t>可结合综合开发，利用下沉空间来布置出租汽车换乘设施，也可采取立体化布局的方式，将出租汽车换乘设施设置在公交车站下方，形成立体换乘。</w:t>
      </w:r>
    </w:p>
    <w:p w:rsidR="002C72DC" w:rsidRPr="00B85FA7" w:rsidRDefault="008411D0">
      <w:pPr>
        <w:pStyle w:val="31"/>
      </w:pPr>
      <w:r w:rsidRPr="00B85FA7">
        <w:rPr>
          <w:rFonts w:hint="eastAsia"/>
        </w:rPr>
        <w:t>小汽车停车场布置及交通组织应满足以下原则和要求：</w:t>
      </w:r>
    </w:p>
    <w:p w:rsidR="00785E06" w:rsidRPr="00B85FA7" w:rsidRDefault="008411D0" w:rsidP="00E174E9">
      <w:pPr>
        <w:pStyle w:val="4"/>
        <w:numPr>
          <w:ilvl w:val="3"/>
          <w:numId w:val="27"/>
        </w:numPr>
      </w:pPr>
      <w:r w:rsidRPr="00B85FA7">
        <w:rPr>
          <w:rFonts w:hint="eastAsia"/>
        </w:rPr>
        <w:t>应尽量结合其他场站设施空间进行立体式布置。</w:t>
      </w:r>
    </w:p>
    <w:p w:rsidR="00785E06" w:rsidRPr="00B85FA7" w:rsidRDefault="008411D0" w:rsidP="00E83444">
      <w:pPr>
        <w:pStyle w:val="4"/>
      </w:pPr>
      <w:proofErr w:type="gramStart"/>
      <w:r w:rsidRPr="00B85FA7">
        <w:rPr>
          <w:rFonts w:hint="eastAsia"/>
        </w:rPr>
        <w:t>宜设置</w:t>
      </w:r>
      <w:proofErr w:type="gramEnd"/>
      <w:r w:rsidRPr="00B85FA7">
        <w:rPr>
          <w:rFonts w:hint="eastAsia"/>
        </w:rPr>
        <w:t>步行通道联系停车场与轨道站点出入口。</w:t>
      </w:r>
    </w:p>
    <w:p w:rsidR="002C72DC" w:rsidRPr="00B85FA7" w:rsidRDefault="008411D0" w:rsidP="00E83444">
      <w:pPr>
        <w:pStyle w:val="4"/>
      </w:pPr>
      <w:r w:rsidRPr="00B85FA7">
        <w:rPr>
          <w:rFonts w:hint="eastAsia"/>
        </w:rPr>
        <w:t>停车场内停车通道要面向站点出入口，确保停车场内行人安全，停车场内停车通道应双向通行。</w:t>
      </w:r>
    </w:p>
    <w:p w:rsidR="00785E06" w:rsidRPr="00B85FA7" w:rsidRDefault="008411D0" w:rsidP="00E83444">
      <w:pPr>
        <w:pStyle w:val="4"/>
      </w:pPr>
      <w:r w:rsidRPr="00B85FA7">
        <w:rPr>
          <w:rFonts w:hint="eastAsia"/>
        </w:rPr>
        <w:t>停车场出入口数量应符合相关规范及进出设计要求，避免集中于一条道路进出，与人行主要出入口及通道相分离，并与地面公交、出租汽车等车流适当分离，尽量避免流线交叉。</w:t>
      </w:r>
    </w:p>
    <w:p w:rsidR="002C72DC" w:rsidRPr="00B85FA7" w:rsidRDefault="008411D0" w:rsidP="00E83444">
      <w:pPr>
        <w:pStyle w:val="4"/>
      </w:pPr>
      <w:r w:rsidRPr="00B85FA7">
        <w:rPr>
          <w:rFonts w:hint="eastAsia"/>
        </w:rPr>
        <w:t>停车场出入口处要提供足够的车辆排队空间，可设置可变车道，满足早晚高峰不同方向需求。</w:t>
      </w:r>
    </w:p>
    <w:p w:rsidR="002C72DC" w:rsidRPr="00B85FA7" w:rsidRDefault="008411D0">
      <w:pPr>
        <w:pStyle w:val="31"/>
      </w:pPr>
      <w:r w:rsidRPr="00B85FA7">
        <w:rPr>
          <w:rFonts w:hint="eastAsia"/>
        </w:rPr>
        <w:t>停靠设施布置应符合</w:t>
      </w:r>
      <w:r w:rsidRPr="00B85FA7">
        <w:t>以下原则和</w:t>
      </w:r>
      <w:r w:rsidRPr="00B85FA7">
        <w:rPr>
          <w:rFonts w:hint="eastAsia"/>
        </w:rPr>
        <w:t>要求：</w:t>
      </w:r>
    </w:p>
    <w:p w:rsidR="002C72DC" w:rsidRPr="00B85FA7" w:rsidRDefault="008411D0" w:rsidP="00E174E9">
      <w:pPr>
        <w:pStyle w:val="4"/>
        <w:numPr>
          <w:ilvl w:val="3"/>
          <w:numId w:val="28"/>
        </w:numPr>
      </w:pPr>
      <w:r w:rsidRPr="00B85FA7">
        <w:rPr>
          <w:rFonts w:hint="eastAsia"/>
        </w:rPr>
        <w:t>停靠设施是指位于道路红线内、利用路侧空间布局的各类交通换乘设施，包括公交停靠站、出租汽车临时停靠点和小汽车临时停靠点。</w:t>
      </w:r>
    </w:p>
    <w:p w:rsidR="002C72DC" w:rsidRPr="00B85FA7" w:rsidRDefault="008411D0" w:rsidP="00E83444">
      <w:pPr>
        <w:pStyle w:val="4"/>
      </w:pPr>
      <w:r w:rsidRPr="00B85FA7">
        <w:rPr>
          <w:rFonts w:hint="eastAsia"/>
        </w:rPr>
        <w:t>停靠设施布置应重视人行的安全性和便利性，上下客区应尽量布置于乘客无需穿越车道的位置，且上下客区人行空间净宽应符合相关规范及人行畅顺要求。</w:t>
      </w:r>
    </w:p>
    <w:p w:rsidR="002C72DC" w:rsidRPr="00B85FA7" w:rsidRDefault="008411D0" w:rsidP="00E83444">
      <w:pPr>
        <w:pStyle w:val="4"/>
      </w:pPr>
      <w:r w:rsidRPr="00B85FA7">
        <w:rPr>
          <w:rFonts w:hint="eastAsia"/>
        </w:rPr>
        <w:t>应统一规划临时停靠点的交通流线，减少机动车交通的相互干扰</w:t>
      </w:r>
      <w:r w:rsidR="006F7053" w:rsidRPr="00B85FA7">
        <w:rPr>
          <w:rFonts w:hint="eastAsia"/>
        </w:rPr>
        <w:t>；</w:t>
      </w:r>
      <w:r w:rsidRPr="00B85FA7">
        <w:rPr>
          <w:rFonts w:hint="eastAsia"/>
        </w:rPr>
        <w:t>临时停靠点宜采用港湾式停靠，降低对其他车辆通行的影响</w:t>
      </w:r>
      <w:r w:rsidR="001E5D7A" w:rsidRPr="00B85FA7">
        <w:rPr>
          <w:rFonts w:hint="eastAsia"/>
        </w:rPr>
        <w:t>；</w:t>
      </w:r>
      <w:r w:rsidRPr="00B85FA7">
        <w:rPr>
          <w:rFonts w:hint="eastAsia"/>
        </w:rPr>
        <w:t>临时停靠点进出口与交叉口距离等关系应符合相关规范要求</w:t>
      </w:r>
      <w:r w:rsidR="001E5D7A" w:rsidRPr="00B85FA7">
        <w:rPr>
          <w:rFonts w:hint="eastAsia"/>
        </w:rPr>
        <w:t>；</w:t>
      </w:r>
      <w:r w:rsidRPr="00B85FA7">
        <w:rPr>
          <w:rFonts w:hint="eastAsia"/>
        </w:rPr>
        <w:t>临时停靠点的停车位数量，应综合考虑客流计算结果及常规</w:t>
      </w:r>
      <w:r w:rsidRPr="00B85FA7">
        <w:t>配置数量</w:t>
      </w:r>
      <w:r w:rsidRPr="00B85FA7">
        <w:rPr>
          <w:rFonts w:hint="eastAsia"/>
        </w:rPr>
        <w:t>确定。</w:t>
      </w:r>
    </w:p>
    <w:p w:rsidR="002C72DC" w:rsidRPr="00B85FA7" w:rsidRDefault="008411D0" w:rsidP="00E83444">
      <w:pPr>
        <w:pStyle w:val="4"/>
      </w:pPr>
      <w:r w:rsidRPr="00B85FA7">
        <w:rPr>
          <w:rFonts w:hint="eastAsia"/>
        </w:rPr>
        <w:t>公交停靠站与轨道站点出入口的步行距离宜控制在</w:t>
      </w:r>
      <w:r w:rsidRPr="00B85FA7">
        <w:t xml:space="preserve">50~100 m </w:t>
      </w:r>
      <w:r w:rsidRPr="00B85FA7">
        <w:rPr>
          <w:rFonts w:hint="eastAsia"/>
        </w:rPr>
        <w:t>以内</w:t>
      </w:r>
      <w:r w:rsidR="001E5D7A" w:rsidRPr="00B85FA7">
        <w:rPr>
          <w:rFonts w:hint="eastAsia"/>
        </w:rPr>
        <w:t>；</w:t>
      </w:r>
      <w:r w:rsidRPr="00B85FA7">
        <w:rPr>
          <w:rFonts w:hint="eastAsia"/>
        </w:rPr>
        <w:t>公交停靠站一般设</w:t>
      </w:r>
      <w:r w:rsidRPr="00B85FA7">
        <w:t>3</w:t>
      </w:r>
      <w:r w:rsidRPr="00B85FA7">
        <w:rPr>
          <w:rFonts w:hint="eastAsia"/>
        </w:rPr>
        <w:t>个停车位，对客流多、线路多的，宜采用拆分站台、深港湾式</w:t>
      </w:r>
      <w:r w:rsidRPr="00B85FA7">
        <w:rPr>
          <w:rFonts w:hint="eastAsia"/>
        </w:rPr>
        <w:lastRenderedPageBreak/>
        <w:t>站台等方式设置。</w:t>
      </w:r>
    </w:p>
    <w:p w:rsidR="002C72DC" w:rsidRPr="00B85FA7" w:rsidRDefault="00291A3A" w:rsidP="00F42DB2">
      <w:pPr>
        <w:pStyle w:val="22"/>
        <w:widowControl w:val="0"/>
        <w:ind w:firstLineChars="0" w:firstLine="0"/>
        <w:jc w:val="center"/>
        <w:rPr>
          <w:rFonts w:cs="Times New Roman"/>
          <w:b/>
          <w:kern w:val="0"/>
        </w:rPr>
      </w:pPr>
      <w:r w:rsidRPr="00B85FA7">
        <w:rPr>
          <w:noProof/>
        </w:rPr>
        <w:drawing>
          <wp:inline distT="0" distB="0" distL="0" distR="0">
            <wp:extent cx="2672928" cy="1776711"/>
            <wp:effectExtent l="0" t="0" r="0" b="0"/>
            <wp:docPr id="32" name="图片框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70"/>
                    <pic:cNvPicPr>
                      <a:picLocks noChangeAspect="1" noChangeArrowheads="1"/>
                    </pic:cNvPicPr>
                  </pic:nvPicPr>
                  <pic:blipFill>
                    <a:blip r:embed="rId42">
                      <a:extLst>
                        <a:ext uri="{28A0092B-C50C-407E-A947-70E740481C1C}">
                          <a14:useLocalDpi xmlns:a14="http://schemas.microsoft.com/office/drawing/2010/main" val="0"/>
                        </a:ext>
                      </a:extLst>
                    </a:blip>
                    <a:srcRect r="48230"/>
                    <a:stretch>
                      <a:fillRect/>
                    </a:stretch>
                  </pic:blipFill>
                  <pic:spPr bwMode="auto">
                    <a:xfrm>
                      <a:off x="0" y="0"/>
                      <a:ext cx="2676597" cy="1779150"/>
                    </a:xfrm>
                    <a:prstGeom prst="rect">
                      <a:avLst/>
                    </a:prstGeom>
                    <a:noFill/>
                    <a:ln>
                      <a:noFill/>
                    </a:ln>
                  </pic:spPr>
                </pic:pic>
              </a:graphicData>
            </a:graphic>
          </wp:inline>
        </w:drawing>
      </w:r>
    </w:p>
    <w:p w:rsidR="002C72DC" w:rsidRPr="00B85FA7" w:rsidRDefault="008411D0" w:rsidP="002D3141">
      <w:pPr>
        <w:pStyle w:val="a"/>
        <w:widowControl w:val="0"/>
      </w:pPr>
      <w:r w:rsidRPr="00B85FA7">
        <w:rPr>
          <w:rFonts w:hint="eastAsia"/>
        </w:rPr>
        <w:t>鼓励公交停靠站结合建筑场地布局，缩短换乘距离</w:t>
      </w:r>
    </w:p>
    <w:p w:rsidR="002C72DC" w:rsidRPr="00B85FA7" w:rsidRDefault="008411D0" w:rsidP="00E83444">
      <w:pPr>
        <w:pStyle w:val="4"/>
      </w:pPr>
      <w:r w:rsidRPr="00B85FA7">
        <w:rPr>
          <w:rFonts w:hint="eastAsia"/>
        </w:rPr>
        <w:t>出租汽车与小汽车停靠点可合设，并应与公交停靠站分开设置，</w:t>
      </w:r>
      <w:proofErr w:type="gramStart"/>
      <w:r w:rsidRPr="00B85FA7">
        <w:rPr>
          <w:rFonts w:hint="eastAsia"/>
        </w:rPr>
        <w:t>宜设置</w:t>
      </w:r>
      <w:proofErr w:type="gramEnd"/>
      <w:r w:rsidRPr="00B85FA7">
        <w:rPr>
          <w:rFonts w:hint="eastAsia"/>
        </w:rPr>
        <w:t>在距公交停靠站不少于</w:t>
      </w:r>
      <w:r w:rsidRPr="00B85FA7">
        <w:rPr>
          <w:rFonts w:hint="eastAsia"/>
        </w:rPr>
        <w:t>50 m</w:t>
      </w:r>
      <w:r w:rsidRPr="00B85FA7">
        <w:rPr>
          <w:rFonts w:hint="eastAsia"/>
        </w:rPr>
        <w:t>处，存在相互干扰情况下，公交停靠站应优先布置。</w:t>
      </w:r>
    </w:p>
    <w:p w:rsidR="002C72DC" w:rsidRPr="00B85FA7" w:rsidRDefault="008411D0" w:rsidP="00E83444">
      <w:pPr>
        <w:pStyle w:val="4"/>
      </w:pPr>
      <w:r w:rsidRPr="00B85FA7">
        <w:rPr>
          <w:rFonts w:hint="eastAsia"/>
        </w:rPr>
        <w:t>当行人不可避免要穿越公交车道时，需明确标志，且人行横道要布置在公交停靠站的末端。</w:t>
      </w:r>
    </w:p>
    <w:p w:rsidR="002C72DC" w:rsidRPr="00B85FA7" w:rsidRDefault="006F7053" w:rsidP="00E83444">
      <w:pPr>
        <w:pStyle w:val="4"/>
      </w:pPr>
      <w:r w:rsidRPr="00B85FA7">
        <w:rPr>
          <w:rFonts w:hint="eastAsia"/>
        </w:rPr>
        <w:t>对于</w:t>
      </w:r>
      <w:r w:rsidR="008411D0" w:rsidRPr="00B85FA7">
        <w:rPr>
          <w:rFonts w:hint="eastAsia"/>
        </w:rPr>
        <w:t>轨道枢纽站，城市对外客运站出入口采用分离方式的，停靠站应分设上客和下客区，经过场站内部的公交车道应尽量采用单向或专用道方式</w:t>
      </w:r>
      <w:r w:rsidR="001E5D7A" w:rsidRPr="00B85FA7">
        <w:rPr>
          <w:rFonts w:hint="eastAsia"/>
        </w:rPr>
        <w:t>；</w:t>
      </w:r>
      <w:r w:rsidR="008411D0" w:rsidRPr="00B85FA7">
        <w:rPr>
          <w:rFonts w:hint="eastAsia"/>
        </w:rPr>
        <w:t>出租汽车、小汽车的临时停车需求应在场站内安排，仅</w:t>
      </w:r>
      <w:proofErr w:type="gramStart"/>
      <w:r w:rsidR="008411D0" w:rsidRPr="00B85FA7">
        <w:rPr>
          <w:rFonts w:hint="eastAsia"/>
        </w:rPr>
        <w:t>当场地</w:t>
      </w:r>
      <w:proofErr w:type="gramEnd"/>
      <w:r w:rsidR="008411D0" w:rsidRPr="00B85FA7">
        <w:rPr>
          <w:rFonts w:hint="eastAsia"/>
        </w:rPr>
        <w:t>受限时，才能在周边道路安排路内上下客位。</w:t>
      </w:r>
    </w:p>
    <w:p w:rsidR="002C72DC" w:rsidRPr="00B85FA7" w:rsidRDefault="008411D0" w:rsidP="00D23FDD">
      <w:pPr>
        <w:pStyle w:val="2"/>
        <w:keepNext w:val="0"/>
        <w:keepLines w:val="0"/>
      </w:pPr>
      <w:bookmarkStart w:id="78" w:name="_Toc435545800"/>
      <w:r w:rsidRPr="00B85FA7">
        <w:rPr>
          <w:rFonts w:hint="eastAsia"/>
        </w:rPr>
        <w:t>步行空间设计引导</w:t>
      </w:r>
      <w:bookmarkEnd w:id="78"/>
    </w:p>
    <w:p w:rsidR="002C72DC" w:rsidRPr="00B85FA7" w:rsidRDefault="008411D0" w:rsidP="00BD71C1">
      <w:pPr>
        <w:pStyle w:val="31"/>
      </w:pPr>
      <w:r w:rsidRPr="00B85FA7">
        <w:rPr>
          <w:rFonts w:hint="eastAsia"/>
        </w:rPr>
        <w:t>应将步行系统的设计范围扩展到整个轨道站点核心区。</w:t>
      </w:r>
    </w:p>
    <w:p w:rsidR="00DF6923" w:rsidRPr="00B85FA7" w:rsidRDefault="00DF6923" w:rsidP="003D222B">
      <w:pPr>
        <w:widowControl w:val="0"/>
        <w:ind w:firstLineChars="0" w:firstLine="0"/>
        <w:jc w:val="center"/>
      </w:pPr>
      <w:r w:rsidRPr="00B85FA7">
        <w:rPr>
          <w:rFonts w:hint="eastAsia"/>
          <w:noProof/>
        </w:rPr>
        <w:lastRenderedPageBreak/>
        <w:drawing>
          <wp:inline distT="0" distB="0" distL="0" distR="0">
            <wp:extent cx="5171499" cy="2183641"/>
            <wp:effectExtent l="0" t="0" r="0" b="762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步行区扩大(1).jpg"/>
                    <pic:cNvPicPr/>
                  </pic:nvPicPr>
                  <pic:blipFill rotWithShape="1">
                    <a:blip r:embed="rId43" cstate="print">
                      <a:extLst>
                        <a:ext uri="{28A0092B-C50C-407E-A947-70E740481C1C}">
                          <a14:useLocalDpi xmlns:a14="http://schemas.microsoft.com/office/drawing/2010/main" val="0"/>
                        </a:ext>
                      </a:extLst>
                    </a:blip>
                    <a:srcRect l="781" t="2073" r="609" b="3174"/>
                    <a:stretch/>
                  </pic:blipFill>
                  <pic:spPr bwMode="auto">
                    <a:xfrm>
                      <a:off x="0" y="0"/>
                      <a:ext cx="5174084" cy="2184732"/>
                    </a:xfrm>
                    <a:prstGeom prst="rect">
                      <a:avLst/>
                    </a:prstGeom>
                    <a:ln>
                      <a:noFill/>
                    </a:ln>
                    <a:extLst>
                      <a:ext uri="{53640926-AAD7-44D8-BBD7-CCE9431645EC}">
                        <a14:shadowObscured xmlns:a14="http://schemas.microsoft.com/office/drawing/2010/main"/>
                      </a:ext>
                    </a:extLst>
                  </pic:spPr>
                </pic:pic>
              </a:graphicData>
            </a:graphic>
          </wp:inline>
        </w:drawing>
      </w:r>
    </w:p>
    <w:p w:rsidR="002C72DC" w:rsidRPr="00B85FA7" w:rsidRDefault="008411D0" w:rsidP="00D23FDD">
      <w:pPr>
        <w:pStyle w:val="a"/>
        <w:widowControl w:val="0"/>
      </w:pPr>
      <w:r w:rsidRPr="00B85FA7">
        <w:rPr>
          <w:rFonts w:hint="eastAsia"/>
        </w:rPr>
        <w:t>步行系统设计范围应扩大到轨道站点核心区</w:t>
      </w:r>
    </w:p>
    <w:p w:rsidR="002C72DC" w:rsidRPr="00B85FA7" w:rsidRDefault="008411D0" w:rsidP="00D23FDD">
      <w:pPr>
        <w:pStyle w:val="31"/>
      </w:pPr>
      <w:r w:rsidRPr="00B85FA7">
        <w:rPr>
          <w:rFonts w:hint="eastAsia"/>
        </w:rPr>
        <w:t>轨道站点核心区应绘制步行流线图。清晰表达不同高程步行空间的转换关系，明确可</w:t>
      </w:r>
      <w:r w:rsidRPr="00B85FA7">
        <w:rPr>
          <w:rFonts w:hint="eastAsia"/>
          <w:szCs w:val="24"/>
        </w:rPr>
        <w:t>24</w:t>
      </w:r>
      <w:r w:rsidRPr="00B85FA7">
        <w:rPr>
          <w:rFonts w:hint="eastAsia"/>
          <w:szCs w:val="24"/>
        </w:rPr>
        <w:t>小时开放的步行空间范围，</w:t>
      </w:r>
      <w:r w:rsidRPr="00B85FA7">
        <w:rPr>
          <w:rFonts w:hint="eastAsia"/>
        </w:rPr>
        <w:t>作为确定地块开发控制性条件的指导依据。</w:t>
      </w:r>
    </w:p>
    <w:p w:rsidR="002C72DC" w:rsidRPr="00B85FA7" w:rsidRDefault="008411D0" w:rsidP="00D23FDD">
      <w:pPr>
        <w:pStyle w:val="31"/>
      </w:pPr>
      <w:r w:rsidRPr="00B85FA7">
        <w:rPr>
          <w:rFonts w:hint="eastAsia"/>
        </w:rPr>
        <w:t>轨道站点核心区步行系统设计应明确步行过街设施的宽度、高度、高程</w:t>
      </w:r>
      <w:proofErr w:type="gramStart"/>
      <w:r w:rsidRPr="00B85FA7">
        <w:rPr>
          <w:rFonts w:hint="eastAsia"/>
        </w:rPr>
        <w:t>及设置</w:t>
      </w:r>
      <w:proofErr w:type="gramEnd"/>
      <w:r w:rsidRPr="00B85FA7">
        <w:rPr>
          <w:rFonts w:hint="eastAsia"/>
        </w:rPr>
        <w:t>形式。</w:t>
      </w:r>
    </w:p>
    <w:p w:rsidR="002C72DC" w:rsidRPr="00B85FA7" w:rsidRDefault="008411D0" w:rsidP="00D23FDD">
      <w:pPr>
        <w:pStyle w:val="31"/>
      </w:pPr>
      <w:r w:rsidRPr="00B85FA7">
        <w:rPr>
          <w:rFonts w:hint="eastAsia"/>
        </w:rPr>
        <w:t>轨道站点核心区内步行系统设计应与</w:t>
      </w:r>
      <w:r w:rsidRPr="00B85FA7">
        <w:t>换乘设施</w:t>
      </w:r>
      <w:r w:rsidRPr="00B85FA7">
        <w:rPr>
          <w:rFonts w:hint="eastAsia"/>
        </w:rPr>
        <w:t>、</w:t>
      </w:r>
      <w:r w:rsidRPr="00B85FA7">
        <w:t>周边建筑</w:t>
      </w:r>
      <w:r w:rsidRPr="00B85FA7">
        <w:rPr>
          <w:rFonts w:hint="eastAsia"/>
        </w:rPr>
        <w:t>一体设计，使步行系统与轨道站点的衔接尽量便捷，避免行人绕行。</w:t>
      </w:r>
    </w:p>
    <w:p w:rsidR="00C57A66" w:rsidRPr="00B85FA7" w:rsidRDefault="00C57A66">
      <w:pPr>
        <w:widowControl w:val="0"/>
        <w:ind w:firstLineChars="0" w:firstLine="0"/>
        <w:jc w:val="center"/>
      </w:pPr>
      <w:r w:rsidRPr="00B85FA7">
        <w:rPr>
          <w:rFonts w:hint="eastAsia"/>
          <w:noProof/>
        </w:rPr>
        <w:drawing>
          <wp:inline distT="0" distB="0" distL="0" distR="0">
            <wp:extent cx="5031181" cy="2753038"/>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xx轨道车站.jpg"/>
                    <pic:cNvPicPr/>
                  </pic:nvPicPr>
                  <pic:blipFill rotWithShape="1">
                    <a:blip r:embed="rId44" cstate="print">
                      <a:extLst>
                        <a:ext uri="{28A0092B-C50C-407E-A947-70E740481C1C}">
                          <a14:useLocalDpi xmlns:a14="http://schemas.microsoft.com/office/drawing/2010/main" val="0"/>
                        </a:ext>
                      </a:extLst>
                    </a:blip>
                    <a:srcRect l="1431" t="4236" r="1801" b="4989"/>
                    <a:stretch/>
                  </pic:blipFill>
                  <pic:spPr bwMode="auto">
                    <a:xfrm>
                      <a:off x="0" y="0"/>
                      <a:ext cx="5039811" cy="2757761"/>
                    </a:xfrm>
                    <a:prstGeom prst="rect">
                      <a:avLst/>
                    </a:prstGeom>
                    <a:ln>
                      <a:noFill/>
                    </a:ln>
                    <a:extLst>
                      <a:ext uri="{53640926-AAD7-44D8-BBD7-CCE9431645EC}">
                        <a14:shadowObscured xmlns:a14="http://schemas.microsoft.com/office/drawing/2010/main"/>
                      </a:ext>
                    </a:extLst>
                  </pic:spPr>
                </pic:pic>
              </a:graphicData>
            </a:graphic>
          </wp:inline>
        </w:drawing>
      </w:r>
    </w:p>
    <w:p w:rsidR="002C72DC" w:rsidRPr="00B85FA7" w:rsidRDefault="008411D0" w:rsidP="00D23FDD">
      <w:pPr>
        <w:pStyle w:val="a"/>
      </w:pPr>
      <w:r w:rsidRPr="00B85FA7">
        <w:rPr>
          <w:rFonts w:hint="eastAsia"/>
        </w:rPr>
        <w:t>步行系统与轨道站点的衔接尽量便捷</w:t>
      </w:r>
    </w:p>
    <w:p w:rsidR="002C72DC" w:rsidRPr="00B85FA7" w:rsidRDefault="00A10D96" w:rsidP="00F6667D">
      <w:pPr>
        <w:pStyle w:val="31"/>
      </w:pPr>
      <w:r w:rsidRPr="00B85FA7">
        <w:rPr>
          <w:rFonts w:hint="eastAsia"/>
        </w:rPr>
        <w:lastRenderedPageBreak/>
        <w:t>轨道站点核心区内步行系统设计应</w:t>
      </w:r>
      <w:r w:rsidR="008411D0" w:rsidRPr="00B85FA7">
        <w:rPr>
          <w:rFonts w:hint="eastAsia"/>
        </w:rPr>
        <w:t>人车分行</w:t>
      </w:r>
      <w:r w:rsidRPr="00B85FA7">
        <w:rPr>
          <w:rFonts w:hint="eastAsia"/>
        </w:rPr>
        <w:t>，并</w:t>
      </w:r>
      <w:r w:rsidR="003B330F" w:rsidRPr="00B85FA7">
        <w:rPr>
          <w:rFonts w:hint="eastAsia"/>
        </w:rPr>
        <w:t>与公共空间结合，综合考虑</w:t>
      </w:r>
      <w:r w:rsidRPr="00B85FA7">
        <w:rPr>
          <w:rFonts w:hint="eastAsia"/>
        </w:rPr>
        <w:t>遮荫挡雨</w:t>
      </w:r>
      <w:r w:rsidR="003B330F" w:rsidRPr="00B85FA7">
        <w:rPr>
          <w:rFonts w:hint="eastAsia"/>
        </w:rPr>
        <w:t>设施、街道家具、铺装</w:t>
      </w:r>
      <w:r w:rsidRPr="00B85FA7">
        <w:rPr>
          <w:rFonts w:hint="eastAsia"/>
        </w:rPr>
        <w:t>、</w:t>
      </w:r>
      <w:r w:rsidR="003B330F" w:rsidRPr="00B85FA7">
        <w:rPr>
          <w:rFonts w:hint="eastAsia"/>
        </w:rPr>
        <w:t>标识等</w:t>
      </w:r>
      <w:r w:rsidRPr="00B85FA7">
        <w:rPr>
          <w:rFonts w:hint="eastAsia"/>
        </w:rPr>
        <w:t>的设置</w:t>
      </w:r>
      <w:r w:rsidR="003B330F" w:rsidRPr="00B85FA7">
        <w:rPr>
          <w:rFonts w:hint="eastAsia"/>
        </w:rPr>
        <w:t>，保证步行空间的环境品质</w:t>
      </w:r>
      <w:r w:rsidRPr="00B85FA7">
        <w:rPr>
          <w:rFonts w:hint="eastAsia"/>
        </w:rPr>
        <w:t>，满足全天候使用的需求。</w:t>
      </w:r>
    </w:p>
    <w:p w:rsidR="002C72DC" w:rsidRPr="00B85FA7" w:rsidRDefault="00291A3A" w:rsidP="00E83444">
      <w:pPr>
        <w:widowControl w:val="0"/>
        <w:ind w:firstLineChars="0" w:firstLine="0"/>
        <w:jc w:val="center"/>
      </w:pPr>
      <w:r w:rsidRPr="00B85FA7">
        <w:rPr>
          <w:noProof/>
        </w:rPr>
        <w:drawing>
          <wp:inline distT="0" distB="0" distL="0" distR="0">
            <wp:extent cx="5120640" cy="1821180"/>
            <wp:effectExtent l="0" t="0" r="3810" b="762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20640" cy="1821180"/>
                    </a:xfrm>
                    <a:prstGeom prst="rect">
                      <a:avLst/>
                    </a:prstGeom>
                    <a:noFill/>
                    <a:ln>
                      <a:noFill/>
                    </a:ln>
                  </pic:spPr>
                </pic:pic>
              </a:graphicData>
            </a:graphic>
          </wp:inline>
        </w:drawing>
      </w:r>
    </w:p>
    <w:p w:rsidR="002C72DC" w:rsidRPr="00B85FA7" w:rsidRDefault="008411D0">
      <w:pPr>
        <w:pStyle w:val="a"/>
      </w:pPr>
      <w:r w:rsidRPr="00B85FA7">
        <w:rPr>
          <w:rFonts w:hint="eastAsia"/>
        </w:rPr>
        <w:t>地面或高架步行通道宜加设雨棚保证全天候的使用需求</w:t>
      </w:r>
    </w:p>
    <w:p w:rsidR="002C72DC" w:rsidRPr="00B85FA7" w:rsidRDefault="008411D0">
      <w:pPr>
        <w:pStyle w:val="31"/>
      </w:pPr>
      <w:r w:rsidRPr="00B85FA7">
        <w:rPr>
          <w:rFonts w:hint="eastAsia"/>
        </w:rPr>
        <w:t>应尽量打通封闭性大院和绿地，避免对行人出入轨道站点造成空间阻碍，让行人以最短路径联系站点。</w:t>
      </w:r>
    </w:p>
    <w:p w:rsidR="002C72DC" w:rsidRPr="00B85FA7" w:rsidRDefault="008411D0">
      <w:pPr>
        <w:pStyle w:val="31"/>
      </w:pPr>
      <w:r w:rsidRPr="00B85FA7">
        <w:rPr>
          <w:rFonts w:hint="eastAsia"/>
        </w:rPr>
        <w:t>所有人行道都应保持路面平整、连续、无障碍物，遇高差应缓坡处理。</w:t>
      </w:r>
    </w:p>
    <w:p w:rsidR="00E83444" w:rsidRPr="00B85FA7" w:rsidRDefault="00C57A66" w:rsidP="00E174E9">
      <w:pPr>
        <w:pStyle w:val="4"/>
        <w:numPr>
          <w:ilvl w:val="3"/>
          <w:numId w:val="29"/>
        </w:numPr>
      </w:pPr>
      <w:r w:rsidRPr="00B85FA7">
        <w:rPr>
          <w:rFonts w:hint="eastAsia"/>
        </w:rPr>
        <w:t>站点核心区应根据条件减小路缘石转弯半径，有自行车道的交叉口，路缘石半径可采用</w:t>
      </w:r>
      <w:r w:rsidRPr="00B85FA7">
        <w:rPr>
          <w:rFonts w:hint="eastAsia"/>
        </w:rPr>
        <w:t>5 m</w:t>
      </w:r>
      <w:r w:rsidRPr="00B85FA7">
        <w:rPr>
          <w:rFonts w:hint="eastAsia"/>
        </w:rPr>
        <w:t>；无自行车道的交叉口，路缘石半径不宜大于</w:t>
      </w:r>
      <w:r w:rsidRPr="00B85FA7">
        <w:rPr>
          <w:rFonts w:hint="eastAsia"/>
        </w:rPr>
        <w:t>10 m</w:t>
      </w:r>
      <w:r w:rsidRPr="00B85FA7">
        <w:rPr>
          <w:rFonts w:hint="eastAsia"/>
        </w:rPr>
        <w:t>。</w:t>
      </w:r>
    </w:p>
    <w:p w:rsidR="0037696D" w:rsidRPr="00B85FA7" w:rsidRDefault="0037696D" w:rsidP="00E83444">
      <w:pPr>
        <w:pStyle w:val="4"/>
        <w:numPr>
          <w:ilvl w:val="0"/>
          <w:numId w:val="0"/>
        </w:numPr>
        <w:jc w:val="center"/>
      </w:pPr>
      <w:r w:rsidRPr="00B85FA7">
        <w:rPr>
          <w:rFonts w:hint="eastAsia"/>
          <w:noProof/>
        </w:rPr>
        <w:drawing>
          <wp:inline distT="0" distB="0" distL="0" distR="0">
            <wp:extent cx="3190476" cy="1676190"/>
            <wp:effectExtent l="0" t="0" r="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大缘石半径改造为小缘石半径.png"/>
                    <pic:cNvPicPr/>
                  </pic:nvPicPr>
                  <pic:blipFill>
                    <a:blip r:embed="rId46">
                      <a:extLst>
                        <a:ext uri="{28A0092B-C50C-407E-A947-70E740481C1C}">
                          <a14:useLocalDpi xmlns:a14="http://schemas.microsoft.com/office/drawing/2010/main" val="0"/>
                        </a:ext>
                      </a:extLst>
                    </a:blip>
                    <a:stretch>
                      <a:fillRect/>
                    </a:stretch>
                  </pic:blipFill>
                  <pic:spPr>
                    <a:xfrm>
                      <a:off x="0" y="0"/>
                      <a:ext cx="3190476" cy="1676190"/>
                    </a:xfrm>
                    <a:prstGeom prst="rect">
                      <a:avLst/>
                    </a:prstGeom>
                  </pic:spPr>
                </pic:pic>
              </a:graphicData>
            </a:graphic>
          </wp:inline>
        </w:drawing>
      </w:r>
    </w:p>
    <w:p w:rsidR="002C72DC" w:rsidRPr="00B85FA7" w:rsidRDefault="0037696D" w:rsidP="00D23FDD">
      <w:pPr>
        <w:pStyle w:val="a"/>
      </w:pPr>
      <w:r w:rsidRPr="00B85FA7">
        <w:rPr>
          <w:rFonts w:hint="eastAsia"/>
        </w:rPr>
        <w:t>大缘石</w:t>
      </w:r>
      <w:r w:rsidRPr="00B85FA7">
        <w:t>半径改造为小缘石半径</w:t>
      </w:r>
    </w:p>
    <w:p w:rsidR="0037696D" w:rsidRPr="00B85FA7" w:rsidRDefault="0037696D" w:rsidP="00E83444">
      <w:pPr>
        <w:pStyle w:val="4"/>
      </w:pPr>
      <w:r w:rsidRPr="00B85FA7">
        <w:rPr>
          <w:rFonts w:hint="eastAsia"/>
        </w:rPr>
        <w:t>站点核心区每条人行横道应设置一个缘石斜坡。</w:t>
      </w:r>
    </w:p>
    <w:p w:rsidR="00467D07" w:rsidRPr="00B85FA7" w:rsidRDefault="00294309" w:rsidP="00467D07">
      <w:pPr>
        <w:ind w:firstLineChars="0" w:firstLine="0"/>
        <w:jc w:val="center"/>
      </w:pPr>
      <w:r>
        <w:rPr>
          <w:noProof/>
        </w:rPr>
        <w:lastRenderedPageBreak/>
        <mc:AlternateContent>
          <mc:Choice Requires="wps">
            <w:drawing>
              <wp:anchor distT="0" distB="0" distL="114300" distR="114300" simplePos="0" relativeHeight="251657216" behindDoc="0" locked="0" layoutInCell="1" allowOverlap="1">
                <wp:simplePos x="0" y="0"/>
                <wp:positionH relativeFrom="column">
                  <wp:posOffset>2512060</wp:posOffset>
                </wp:positionH>
                <wp:positionV relativeFrom="paragraph">
                  <wp:posOffset>527050</wp:posOffset>
                </wp:positionV>
                <wp:extent cx="161925" cy="171450"/>
                <wp:effectExtent l="0" t="38100" r="47625" b="57150"/>
                <wp:wrapNone/>
                <wp:docPr id="25" name="右箭头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71450"/>
                        </a:xfrm>
                        <a:prstGeom prst="rightArrow">
                          <a:avLst>
                            <a:gd name="adj1" fmla="val 50000"/>
                            <a:gd name="adj2" fmla="val 25000"/>
                          </a:avLst>
                        </a:prstGeom>
                        <a:solidFill>
                          <a:srgbClr val="808080"/>
                        </a:solidFill>
                        <a:ln w="15875" cap="flat"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909DA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25" o:spid="_x0000_s1026" type="#_x0000_t13" style="position:absolute;left:0;text-align:left;margin-left:197.8pt;margin-top:41.5pt;width:12.75pt;height: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" fillcolor="gray" strokeweight="1.25pt"/>
            </w:pict>
          </mc:Fallback>
        </mc:AlternateContent>
      </w:r>
      <w:r w:rsidR="00467D07" w:rsidRPr="00B85FA7">
        <w:rPr>
          <w:noProof/>
        </w:rPr>
        <w:drawing>
          <wp:inline distT="0" distB="0" distL="0" distR="0">
            <wp:extent cx="2097405" cy="1134110"/>
            <wp:effectExtent l="0" t="0" r="0" b="889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7405" cy="1134110"/>
                    </a:xfrm>
                    <a:prstGeom prst="rect">
                      <a:avLst/>
                    </a:prstGeom>
                    <a:noFill/>
                  </pic:spPr>
                </pic:pic>
              </a:graphicData>
            </a:graphic>
          </wp:inline>
        </w:drawing>
      </w:r>
      <w:r w:rsidR="00553162">
        <w:rPr>
          <w:rFonts w:hint="eastAsia"/>
        </w:rPr>
        <w:t xml:space="preserve">    </w:t>
      </w:r>
      <w:r w:rsidR="00467D07" w:rsidRPr="00B85FA7">
        <w:rPr>
          <w:noProof/>
        </w:rPr>
        <w:drawing>
          <wp:inline distT="0" distB="0" distL="0" distR="0">
            <wp:extent cx="2143353" cy="1146175"/>
            <wp:effectExtent l="0" t="0" r="9525"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a:extLst>
                        <a:ext uri="{28A0092B-C50C-407E-A947-70E740481C1C}">
                          <a14:useLocalDpi xmlns:a14="http://schemas.microsoft.com/office/drawing/2010/main" val="0"/>
                        </a:ext>
                      </a:extLst>
                    </a:blip>
                    <a:srcRect r="2334"/>
                    <a:stretch/>
                  </pic:blipFill>
                  <pic:spPr bwMode="auto">
                    <a:xfrm>
                      <a:off x="0" y="0"/>
                      <a:ext cx="2143353" cy="1146175"/>
                    </a:xfrm>
                    <a:prstGeom prst="rect">
                      <a:avLst/>
                    </a:prstGeom>
                    <a:noFill/>
                    <a:ln>
                      <a:noFill/>
                    </a:ln>
                    <a:extLst>
                      <a:ext uri="{53640926-AAD7-44D8-BBD7-CCE9431645EC}">
                        <a14:shadowObscured xmlns:a14="http://schemas.microsoft.com/office/drawing/2010/main"/>
                      </a:ext>
                    </a:extLst>
                  </pic:spPr>
                </pic:pic>
              </a:graphicData>
            </a:graphic>
          </wp:inline>
        </w:drawing>
      </w:r>
    </w:p>
    <w:p w:rsidR="00467D07" w:rsidRPr="00B85FA7" w:rsidRDefault="00294309" w:rsidP="00467D07">
      <w:pPr>
        <w:ind w:firstLineChars="0" w:firstLine="0"/>
        <w:jc w:val="center"/>
      </w:pPr>
      <w:r>
        <w:rPr>
          <w:noProof/>
        </w:rPr>
        <mc:AlternateContent>
          <mc:Choice Requires="wps">
            <w:drawing>
              <wp:anchor distT="0" distB="0" distL="114300" distR="114300" simplePos="0" relativeHeight="251659264" behindDoc="0" locked="0" layoutInCell="1" allowOverlap="1">
                <wp:simplePos x="0" y="0"/>
                <wp:positionH relativeFrom="column">
                  <wp:posOffset>2496820</wp:posOffset>
                </wp:positionH>
                <wp:positionV relativeFrom="paragraph">
                  <wp:posOffset>718820</wp:posOffset>
                </wp:positionV>
                <wp:extent cx="161925" cy="171450"/>
                <wp:effectExtent l="0" t="38100" r="47625" b="57150"/>
                <wp:wrapNone/>
                <wp:docPr id="26" name="右箭头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71450"/>
                        </a:xfrm>
                        <a:prstGeom prst="rightArrow">
                          <a:avLst>
                            <a:gd name="adj1" fmla="val 50000"/>
                            <a:gd name="adj2" fmla="val 25000"/>
                          </a:avLst>
                        </a:prstGeom>
                        <a:solidFill>
                          <a:srgbClr val="808080"/>
                        </a:solidFill>
                        <a:ln w="15875" cap="flat"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9F9D9" id="右箭头 26" o:spid="_x0000_s1026" type="#_x0000_t13" style="position:absolute;left:0;text-align:left;margin-left:196.6pt;margin-top:56.6pt;width:12.7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" fillcolor="gray" strokeweight="1.25pt"/>
            </w:pict>
          </mc:Fallback>
        </mc:AlternateContent>
      </w:r>
      <w:r w:rsidR="00467D07" w:rsidRPr="00B85FA7">
        <w:rPr>
          <w:noProof/>
        </w:rPr>
        <w:drawing>
          <wp:inline distT="0" distB="0" distL="0" distR="0">
            <wp:extent cx="2084705" cy="1560830"/>
            <wp:effectExtent l="0" t="0" r="0" b="127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84705" cy="1560830"/>
                    </a:xfrm>
                    <a:prstGeom prst="rect">
                      <a:avLst/>
                    </a:prstGeom>
                    <a:noFill/>
                  </pic:spPr>
                </pic:pic>
              </a:graphicData>
            </a:graphic>
          </wp:inline>
        </w:drawing>
      </w:r>
      <w:r w:rsidR="00553162">
        <w:rPr>
          <w:rFonts w:hint="eastAsia"/>
        </w:rPr>
        <w:t xml:space="preserve">    </w:t>
      </w:r>
      <w:r w:rsidR="00467D07" w:rsidRPr="00B85FA7">
        <w:rPr>
          <w:noProof/>
        </w:rPr>
        <w:drawing>
          <wp:inline distT="0" distB="0" distL="0" distR="0">
            <wp:extent cx="2170430" cy="1560830"/>
            <wp:effectExtent l="0" t="0" r="1270" b="127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70430" cy="1560830"/>
                    </a:xfrm>
                    <a:prstGeom prst="rect">
                      <a:avLst/>
                    </a:prstGeom>
                    <a:noFill/>
                  </pic:spPr>
                </pic:pic>
              </a:graphicData>
            </a:graphic>
          </wp:inline>
        </w:drawing>
      </w:r>
    </w:p>
    <w:p w:rsidR="00467D07" w:rsidRPr="00B85FA7" w:rsidRDefault="00467D07" w:rsidP="00467D07">
      <w:pPr>
        <w:ind w:firstLine="360"/>
      </w:pPr>
      <w:r w:rsidRPr="00B85FA7">
        <w:rPr>
          <w:rFonts w:ascii="宋体" w:hAnsi="宋体" w:cs="宋体" w:hint="eastAsia"/>
          <w:kern w:val="0"/>
          <w:szCs w:val="24"/>
        </w:rPr>
        <w:t>a）两条人行横道共用一个缘石斜坡 b）每条人行横道设置一个缘石斜坡</w:t>
      </w:r>
    </w:p>
    <w:p w:rsidR="0092671C" w:rsidRPr="00B85FA7" w:rsidRDefault="0092671C" w:rsidP="003D222B">
      <w:pPr>
        <w:pStyle w:val="a"/>
      </w:pPr>
      <w:r w:rsidRPr="00B85FA7">
        <w:rPr>
          <w:rFonts w:hint="eastAsia"/>
        </w:rPr>
        <w:t>每条人行横道设置一个缘石斜坡</w:t>
      </w:r>
    </w:p>
    <w:p w:rsidR="0092671C" w:rsidRPr="00B85FA7" w:rsidRDefault="002C76DC" w:rsidP="00E83444">
      <w:pPr>
        <w:pStyle w:val="4"/>
      </w:pPr>
      <w:r w:rsidRPr="00B85FA7">
        <w:rPr>
          <w:rFonts w:hint="eastAsia"/>
        </w:rPr>
        <w:t>人行横道处应优先采用垂直式缘石坡道</w:t>
      </w:r>
      <w:r w:rsidRPr="00B85FA7">
        <w:rPr>
          <w:rFonts w:hint="eastAsia"/>
        </w:rPr>
        <w:t>(</w:t>
      </w:r>
      <w:r w:rsidRPr="00B85FA7">
        <w:rPr>
          <w:rFonts w:hint="eastAsia"/>
        </w:rPr>
        <w:t>坡道方向与缘石垂直</w:t>
      </w:r>
      <w:r w:rsidRPr="00B85FA7">
        <w:rPr>
          <w:rFonts w:hint="eastAsia"/>
        </w:rPr>
        <w:t>)</w:t>
      </w:r>
      <w:r w:rsidRPr="00B85FA7">
        <w:rPr>
          <w:rFonts w:hint="eastAsia"/>
        </w:rPr>
        <w:t>。当步行道宽度较窄时，可采用平行式缘石坡道（</w:t>
      </w:r>
      <w:r w:rsidRPr="00B85FA7">
        <w:rPr>
          <w:rFonts w:hint="eastAsia"/>
        </w:rPr>
        <w:t>(</w:t>
      </w:r>
      <w:r w:rsidRPr="00B85FA7">
        <w:rPr>
          <w:rFonts w:hint="eastAsia"/>
        </w:rPr>
        <w:t>坡道方向与缘石平行）</w:t>
      </w:r>
      <w:r w:rsidR="00FF130F" w:rsidRPr="00B85FA7">
        <w:rPr>
          <w:rFonts w:hint="eastAsia"/>
        </w:rPr>
        <w:t>；</w:t>
      </w:r>
      <w:r w:rsidRPr="00B85FA7">
        <w:rPr>
          <w:rFonts w:hint="eastAsia"/>
        </w:rPr>
        <w:t>当步行道与机动车道路高差大于</w:t>
      </w:r>
      <w:r w:rsidRPr="00B85FA7">
        <w:rPr>
          <w:rFonts w:hint="eastAsia"/>
        </w:rPr>
        <w:t>15 cm</w:t>
      </w:r>
      <w:r w:rsidRPr="00B85FA7">
        <w:rPr>
          <w:rFonts w:hint="eastAsia"/>
        </w:rPr>
        <w:t>时，应对接近交叉口的路段提前平顺降坡处理。</w:t>
      </w:r>
    </w:p>
    <w:p w:rsidR="0092671C" w:rsidRPr="00B85FA7" w:rsidRDefault="0092671C" w:rsidP="003D222B">
      <w:pPr>
        <w:ind w:firstLineChars="0" w:firstLine="0"/>
      </w:pPr>
      <w:r w:rsidRPr="00B85FA7">
        <w:rPr>
          <w:noProof/>
        </w:rPr>
        <w:drawing>
          <wp:inline distT="0" distB="0" distL="0" distR="0">
            <wp:extent cx="2535317" cy="1441094"/>
            <wp:effectExtent l="0" t="0" r="0" b="698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a:extLst>
                        <a:ext uri="{28A0092B-C50C-407E-A947-70E740481C1C}">
                          <a14:useLocalDpi xmlns:a14="http://schemas.microsoft.com/office/drawing/2010/main" val="0"/>
                        </a:ext>
                      </a:extLst>
                    </a:blip>
                    <a:srcRect t="4724" b="2196"/>
                    <a:stretch/>
                  </pic:blipFill>
                  <pic:spPr bwMode="auto">
                    <a:xfrm>
                      <a:off x="0" y="0"/>
                      <a:ext cx="2536190" cy="1441590"/>
                    </a:xfrm>
                    <a:prstGeom prst="rect">
                      <a:avLst/>
                    </a:prstGeom>
                    <a:noFill/>
                    <a:ln>
                      <a:noFill/>
                    </a:ln>
                    <a:extLst>
                      <a:ext uri="{53640926-AAD7-44D8-BBD7-CCE9431645EC}">
                        <a14:shadowObscured xmlns:a14="http://schemas.microsoft.com/office/drawing/2010/main"/>
                      </a:ext>
                    </a:extLst>
                  </pic:spPr>
                </pic:pic>
              </a:graphicData>
            </a:graphic>
          </wp:inline>
        </w:drawing>
      </w:r>
      <w:r w:rsidRPr="00B85FA7">
        <w:rPr>
          <w:noProof/>
        </w:rPr>
        <w:drawing>
          <wp:inline distT="0" distB="0" distL="0" distR="0">
            <wp:extent cx="2620410" cy="1477670"/>
            <wp:effectExtent l="0" t="0" r="8890" b="825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t="4562" b="3247"/>
                    <a:stretch/>
                  </pic:blipFill>
                  <pic:spPr bwMode="auto">
                    <a:xfrm>
                      <a:off x="0" y="0"/>
                      <a:ext cx="2621280" cy="1478161"/>
                    </a:xfrm>
                    <a:prstGeom prst="rect">
                      <a:avLst/>
                    </a:prstGeom>
                    <a:noFill/>
                    <a:ln>
                      <a:noFill/>
                    </a:ln>
                    <a:extLst>
                      <a:ext uri="{53640926-AAD7-44D8-BBD7-CCE9431645EC}">
                        <a14:shadowObscured xmlns:a14="http://schemas.microsoft.com/office/drawing/2010/main"/>
                      </a:ext>
                    </a:extLst>
                  </pic:spPr>
                </pic:pic>
              </a:graphicData>
            </a:graphic>
          </wp:inline>
        </w:drawing>
      </w:r>
    </w:p>
    <w:p w:rsidR="0092671C" w:rsidRPr="00B85FA7" w:rsidRDefault="00553162" w:rsidP="00A810FD">
      <w:pPr>
        <w:ind w:firstLineChars="262" w:firstLine="629"/>
      </w:pPr>
      <w:r>
        <w:rPr>
          <w:rFonts w:hint="eastAsia"/>
        </w:rPr>
        <w:t xml:space="preserve">  </w:t>
      </w:r>
      <w:r w:rsidR="002D62FB">
        <w:rPr>
          <w:rFonts w:hint="eastAsia"/>
        </w:rPr>
        <w:t xml:space="preserve"> </w:t>
      </w:r>
      <w:r w:rsidR="00A810FD" w:rsidRPr="00B85FA7">
        <w:rPr>
          <w:rFonts w:hint="eastAsia"/>
        </w:rPr>
        <w:t>a</w:t>
      </w:r>
      <w:r w:rsidR="00A810FD" w:rsidRPr="00B85FA7">
        <w:rPr>
          <w:rFonts w:hint="eastAsia"/>
        </w:rPr>
        <w:t>）</w:t>
      </w:r>
      <w:r w:rsidR="002C76DC" w:rsidRPr="00B85FA7">
        <w:rPr>
          <w:rFonts w:hint="eastAsia"/>
        </w:rPr>
        <w:t>垂直式缘石坡道</w:t>
      </w:r>
      <w:r>
        <w:rPr>
          <w:rFonts w:hint="eastAsia"/>
        </w:rPr>
        <w:t xml:space="preserve">               </w:t>
      </w:r>
      <w:r w:rsidR="00CA63D7">
        <w:rPr>
          <w:rFonts w:hint="eastAsia"/>
        </w:rPr>
        <w:t xml:space="preserve">  </w:t>
      </w:r>
      <w:r w:rsidR="0092671C" w:rsidRPr="00B85FA7">
        <w:t>b</w:t>
      </w:r>
      <w:r w:rsidR="00A810FD" w:rsidRPr="00B85FA7">
        <w:rPr>
          <w:rFonts w:hint="eastAsia"/>
        </w:rPr>
        <w:t>）</w:t>
      </w:r>
      <w:r w:rsidR="002C76DC" w:rsidRPr="00B85FA7">
        <w:rPr>
          <w:rFonts w:hint="eastAsia"/>
        </w:rPr>
        <w:t>平行式缘石坡道</w:t>
      </w:r>
    </w:p>
    <w:p w:rsidR="0092671C" w:rsidRPr="00B85FA7" w:rsidRDefault="0092671C" w:rsidP="003D222B">
      <w:pPr>
        <w:pStyle w:val="a"/>
      </w:pPr>
      <w:r w:rsidRPr="00B85FA7">
        <w:rPr>
          <w:rFonts w:hint="eastAsia"/>
        </w:rPr>
        <w:t>缘石坡道的基本形式</w:t>
      </w:r>
    </w:p>
    <w:p w:rsidR="0092671C" w:rsidRPr="00B85FA7" w:rsidRDefault="0092671C" w:rsidP="00E83444">
      <w:pPr>
        <w:pStyle w:val="4"/>
      </w:pPr>
      <w:r w:rsidRPr="00B85FA7">
        <w:rPr>
          <w:rFonts w:hint="eastAsia"/>
        </w:rPr>
        <w:t>机动车出入口人行道标高应保持不变，并采用差异化的铺装形式予以提示。缘石斜坡</w:t>
      </w:r>
      <w:proofErr w:type="gramStart"/>
      <w:r w:rsidRPr="00B85FA7">
        <w:rPr>
          <w:rFonts w:hint="eastAsia"/>
        </w:rPr>
        <w:t>宜设置</w:t>
      </w:r>
      <w:proofErr w:type="gramEnd"/>
      <w:r w:rsidRPr="00B85FA7">
        <w:rPr>
          <w:rFonts w:hint="eastAsia"/>
        </w:rPr>
        <w:t>在设施带内。</w:t>
      </w:r>
    </w:p>
    <w:p w:rsidR="0092671C" w:rsidRPr="00B85FA7" w:rsidRDefault="0092671C" w:rsidP="003D222B">
      <w:pPr>
        <w:ind w:firstLineChars="0" w:firstLine="0"/>
        <w:jc w:val="center"/>
      </w:pPr>
      <w:r w:rsidRPr="00B85FA7">
        <w:rPr>
          <w:rFonts w:ascii="宋体" w:hAnsi="宋体"/>
          <w:noProof/>
          <w:sz w:val="18"/>
        </w:rPr>
        <w:lastRenderedPageBreak/>
        <w:drawing>
          <wp:inline distT="0" distB="0" distL="0" distR="0">
            <wp:extent cx="2295525" cy="1457325"/>
            <wp:effectExtent l="0" t="0" r="9525"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95525" cy="1457325"/>
                    </a:xfrm>
                    <a:prstGeom prst="rect">
                      <a:avLst/>
                    </a:prstGeom>
                    <a:noFill/>
                    <a:ln>
                      <a:noFill/>
                    </a:ln>
                  </pic:spPr>
                </pic:pic>
              </a:graphicData>
            </a:graphic>
          </wp:inline>
        </w:drawing>
      </w:r>
      <w:r w:rsidR="002D62FB">
        <w:rPr>
          <w:rFonts w:hint="eastAsia"/>
        </w:rPr>
        <w:t xml:space="preserve">  </w:t>
      </w:r>
      <w:r w:rsidRPr="00B85FA7">
        <w:rPr>
          <w:noProof/>
        </w:rPr>
        <w:drawing>
          <wp:inline distT="0" distB="0" distL="0" distR="0">
            <wp:extent cx="2105025" cy="1457325"/>
            <wp:effectExtent l="0" t="0" r="9525" b="952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05025" cy="1457325"/>
                    </a:xfrm>
                    <a:prstGeom prst="rect">
                      <a:avLst/>
                    </a:prstGeom>
                    <a:noFill/>
                  </pic:spPr>
                </pic:pic>
              </a:graphicData>
            </a:graphic>
          </wp:inline>
        </w:drawing>
      </w:r>
    </w:p>
    <w:p w:rsidR="0092671C" w:rsidRPr="00B85FA7" w:rsidRDefault="0092671C" w:rsidP="003D222B">
      <w:pPr>
        <w:pStyle w:val="a"/>
      </w:pPr>
      <w:r w:rsidRPr="00B85FA7">
        <w:rPr>
          <w:rFonts w:hint="eastAsia"/>
        </w:rPr>
        <w:t>机动车出入口的正确处理</w:t>
      </w:r>
    </w:p>
    <w:p w:rsidR="0092671C" w:rsidRPr="00B85FA7" w:rsidRDefault="00E00F68" w:rsidP="00E83444">
      <w:pPr>
        <w:pStyle w:val="4"/>
      </w:pPr>
      <w:r w:rsidRPr="00B85FA7">
        <w:rPr>
          <w:rFonts w:hint="eastAsia"/>
        </w:rPr>
        <w:t>当人行横道长度大于</w:t>
      </w:r>
      <w:r w:rsidRPr="00B85FA7">
        <w:rPr>
          <w:rFonts w:hint="eastAsia"/>
        </w:rPr>
        <w:t>16</w:t>
      </w:r>
      <w:r w:rsidR="00940BD6">
        <w:rPr>
          <w:rFonts w:hint="eastAsia"/>
        </w:rPr>
        <w:t xml:space="preserve"> </w:t>
      </w:r>
      <w:r w:rsidRPr="00B85FA7">
        <w:rPr>
          <w:rFonts w:hint="eastAsia"/>
        </w:rPr>
        <w:t>m</w:t>
      </w:r>
      <w:r w:rsidRPr="00B85FA7">
        <w:rPr>
          <w:rFonts w:hint="eastAsia"/>
        </w:rPr>
        <w:t>时，或虽小于</w:t>
      </w:r>
      <w:r w:rsidRPr="00B85FA7">
        <w:rPr>
          <w:rFonts w:hint="eastAsia"/>
        </w:rPr>
        <w:t>16</w:t>
      </w:r>
      <w:r w:rsidR="00940BD6">
        <w:rPr>
          <w:rFonts w:hint="eastAsia"/>
        </w:rPr>
        <w:t xml:space="preserve"> </w:t>
      </w:r>
      <w:r w:rsidRPr="00B85FA7">
        <w:rPr>
          <w:rFonts w:hint="eastAsia"/>
        </w:rPr>
        <w:t>m</w:t>
      </w:r>
      <w:r w:rsidRPr="00B85FA7">
        <w:rPr>
          <w:rFonts w:hint="eastAsia"/>
        </w:rPr>
        <w:t>但需加强过街安全性时，应在人行横道中央设置过街安全岛</w:t>
      </w:r>
      <w:r w:rsidR="00FF130F" w:rsidRPr="00B85FA7">
        <w:rPr>
          <w:rFonts w:hint="eastAsia"/>
        </w:rPr>
        <w:t>；</w:t>
      </w:r>
      <w:r w:rsidRPr="00B85FA7">
        <w:rPr>
          <w:rFonts w:hint="eastAsia"/>
        </w:rPr>
        <w:t>有条件时可设置多个安全岛</w:t>
      </w:r>
      <w:r w:rsidR="000733A0" w:rsidRPr="00B85FA7">
        <w:rPr>
          <w:rFonts w:hint="eastAsia"/>
        </w:rPr>
        <w:t>。</w:t>
      </w:r>
    </w:p>
    <w:p w:rsidR="00E00F68" w:rsidRPr="00B85FA7" w:rsidRDefault="00E00F68" w:rsidP="003D222B">
      <w:pPr>
        <w:ind w:firstLineChars="0" w:firstLine="0"/>
        <w:jc w:val="center"/>
      </w:pPr>
      <w:r w:rsidRPr="00B85FA7">
        <w:rPr>
          <w:noProof/>
        </w:rPr>
        <w:drawing>
          <wp:inline distT="0" distB="0" distL="0" distR="0">
            <wp:extent cx="2324100" cy="15621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pic:spPr>
                </pic:pic>
              </a:graphicData>
            </a:graphic>
          </wp:inline>
        </w:drawing>
      </w:r>
      <w:r w:rsidR="002D62FB">
        <w:rPr>
          <w:rFonts w:hint="eastAsia"/>
        </w:rPr>
        <w:t xml:space="preserve">  </w:t>
      </w:r>
      <w:r w:rsidRPr="00B85FA7">
        <w:rPr>
          <w:noProof/>
        </w:rPr>
        <w:drawing>
          <wp:inline distT="0" distB="0" distL="0" distR="0">
            <wp:extent cx="2154447" cy="154305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61083" cy="1547803"/>
                    </a:xfrm>
                    <a:prstGeom prst="rect">
                      <a:avLst/>
                    </a:prstGeom>
                    <a:noFill/>
                  </pic:spPr>
                </pic:pic>
              </a:graphicData>
            </a:graphic>
          </wp:inline>
        </w:drawing>
      </w:r>
    </w:p>
    <w:p w:rsidR="00E00F68" w:rsidRPr="00B85FA7" w:rsidRDefault="002D62FB" w:rsidP="00937AA6">
      <w:pPr>
        <w:ind w:firstLineChars="62" w:firstLine="149"/>
      </w:pPr>
      <w:r>
        <w:rPr>
          <w:rFonts w:hint="eastAsia"/>
        </w:rPr>
        <w:t xml:space="preserve">  </w:t>
      </w:r>
      <w:r w:rsidR="00937AA6" w:rsidRPr="00B85FA7">
        <w:rPr>
          <w:rFonts w:hint="eastAsia"/>
        </w:rPr>
        <w:t>a</w:t>
      </w:r>
      <w:r w:rsidR="00937AA6" w:rsidRPr="00B85FA7">
        <w:rPr>
          <w:rFonts w:hint="eastAsia"/>
        </w:rPr>
        <w:t>）</w:t>
      </w:r>
      <w:r w:rsidR="00E00F68" w:rsidRPr="00B85FA7">
        <w:rPr>
          <w:rFonts w:hint="eastAsia"/>
        </w:rPr>
        <w:t>利用机非隔离带设置过街安全岛</w:t>
      </w:r>
      <w:r>
        <w:rPr>
          <w:rFonts w:hint="eastAsia"/>
        </w:rPr>
        <w:t xml:space="preserve">       </w:t>
      </w:r>
      <w:r w:rsidR="00E00F68" w:rsidRPr="00B85FA7">
        <w:t>b</w:t>
      </w:r>
      <w:r w:rsidR="00937AA6" w:rsidRPr="00B85FA7">
        <w:rPr>
          <w:rFonts w:hint="eastAsia"/>
        </w:rPr>
        <w:t>）</w:t>
      </w:r>
      <w:r w:rsidR="00E00F68" w:rsidRPr="00B85FA7">
        <w:rPr>
          <w:rFonts w:hint="eastAsia"/>
        </w:rPr>
        <w:t>倾斜式过街安全岛</w:t>
      </w:r>
    </w:p>
    <w:p w:rsidR="00E00F68" w:rsidRPr="00B85FA7" w:rsidRDefault="00E00F68" w:rsidP="003D222B">
      <w:pPr>
        <w:pStyle w:val="a"/>
      </w:pPr>
      <w:r w:rsidRPr="00B85FA7">
        <w:rPr>
          <w:rFonts w:hint="eastAsia"/>
        </w:rPr>
        <w:t>过街安全岛设置实例</w:t>
      </w:r>
    </w:p>
    <w:p w:rsidR="002C72DC" w:rsidRPr="00B85FA7" w:rsidRDefault="008411D0" w:rsidP="00D23FDD">
      <w:pPr>
        <w:pStyle w:val="31"/>
      </w:pPr>
      <w:r w:rsidRPr="00B85FA7">
        <w:rPr>
          <w:rFonts w:hint="eastAsia"/>
        </w:rPr>
        <w:t>站点核心区步行空间设计应符合下述要求：</w:t>
      </w:r>
    </w:p>
    <w:p w:rsidR="003D222B" w:rsidRPr="00B85FA7" w:rsidRDefault="003D222B" w:rsidP="00E174E9">
      <w:pPr>
        <w:pStyle w:val="4"/>
        <w:numPr>
          <w:ilvl w:val="3"/>
          <w:numId w:val="30"/>
        </w:numPr>
      </w:pPr>
      <w:r w:rsidRPr="00B85FA7">
        <w:rPr>
          <w:rFonts w:hint="eastAsia"/>
        </w:rPr>
        <w:t>轨道出入口设于支路或小巷的，支路或小巷应尽量改造为步行共享道路</w:t>
      </w:r>
      <w:r w:rsidR="00A06D49" w:rsidRPr="00B85FA7">
        <w:rPr>
          <w:rFonts w:hint="eastAsia"/>
        </w:rPr>
        <w:t>。</w:t>
      </w:r>
      <w:r w:rsidRPr="00B85FA7">
        <w:rPr>
          <w:rFonts w:hint="eastAsia"/>
        </w:rPr>
        <w:t>出入口设于次干路及以上级别道路红线以内的，与出入口连接的主要道路人行道宽度不宜小于</w:t>
      </w:r>
      <w:r w:rsidRPr="00B85FA7">
        <w:rPr>
          <w:rFonts w:hint="eastAsia"/>
        </w:rPr>
        <w:t>5 m</w:t>
      </w:r>
      <w:r w:rsidRPr="00B85FA7">
        <w:rPr>
          <w:rFonts w:hint="eastAsia"/>
        </w:rPr>
        <w:t>，且不得占用人行道空间布置换乘交通设施或商业摊点。</w:t>
      </w:r>
    </w:p>
    <w:p w:rsidR="003D222B" w:rsidRPr="00B85FA7" w:rsidRDefault="003D222B" w:rsidP="00E83444">
      <w:pPr>
        <w:pStyle w:val="4"/>
      </w:pPr>
      <w:r w:rsidRPr="00B85FA7">
        <w:rPr>
          <w:rFonts w:hint="eastAsia"/>
        </w:rPr>
        <w:t>各交通设施内部的步行空间一般应将结构高度控制在</w:t>
      </w:r>
      <w:r w:rsidRPr="00B85FA7">
        <w:rPr>
          <w:rFonts w:hint="eastAsia"/>
        </w:rPr>
        <w:t>5 m</w:t>
      </w:r>
      <w:r w:rsidRPr="00B85FA7">
        <w:rPr>
          <w:rFonts w:hint="eastAsia"/>
        </w:rPr>
        <w:t>以上，在满足通风等设备条件基础上，保证视线开阔和方向可识别性。</w:t>
      </w:r>
    </w:p>
    <w:p w:rsidR="003D222B" w:rsidRPr="00B85FA7" w:rsidRDefault="003D222B" w:rsidP="00E83444">
      <w:pPr>
        <w:pStyle w:val="4"/>
      </w:pPr>
      <w:r w:rsidRPr="00B85FA7">
        <w:rPr>
          <w:rFonts w:hint="eastAsia"/>
        </w:rPr>
        <w:t>轨道站点与对外交通枢纽及公交场站换乘时，步行通道应尽可能通达对外交通设施及公交场站的乘客服务大厅，避免人车交叉</w:t>
      </w:r>
      <w:r w:rsidR="00A06D49" w:rsidRPr="00B85FA7">
        <w:rPr>
          <w:rFonts w:hint="eastAsia"/>
        </w:rPr>
        <w:t>。</w:t>
      </w:r>
      <w:r w:rsidRPr="00B85FA7">
        <w:rPr>
          <w:rFonts w:hint="eastAsia"/>
        </w:rPr>
        <w:t>换乘通道宽度不宜小于</w:t>
      </w:r>
      <w:r w:rsidRPr="00B85FA7">
        <w:rPr>
          <w:rFonts w:hint="eastAsia"/>
        </w:rPr>
        <w:t>10 m</w:t>
      </w:r>
      <w:r w:rsidRPr="00B85FA7">
        <w:rPr>
          <w:rFonts w:hint="eastAsia"/>
        </w:rPr>
        <w:t>，并应充分考虑利用排风设施、屏蔽门等屏蔽尾气污染。</w:t>
      </w:r>
    </w:p>
    <w:p w:rsidR="003D222B" w:rsidRPr="00B85FA7" w:rsidRDefault="003D222B" w:rsidP="00E83444">
      <w:pPr>
        <w:pStyle w:val="4"/>
      </w:pPr>
      <w:r w:rsidRPr="00B85FA7">
        <w:rPr>
          <w:rFonts w:hint="eastAsia"/>
        </w:rPr>
        <w:t>轨道站点与公交停靠站换乘时，步行系统应便捷顺畅、导向性强，尽量避</w:t>
      </w:r>
      <w:r w:rsidRPr="00B85FA7">
        <w:rPr>
          <w:rFonts w:hint="eastAsia"/>
        </w:rPr>
        <w:lastRenderedPageBreak/>
        <w:t>免多条通道多方向空间贯通</w:t>
      </w:r>
      <w:r w:rsidR="00A06D49" w:rsidRPr="00B85FA7">
        <w:rPr>
          <w:rFonts w:hint="eastAsia"/>
        </w:rPr>
        <w:t>。</w:t>
      </w:r>
      <w:r w:rsidRPr="00B85FA7">
        <w:rPr>
          <w:rFonts w:hint="eastAsia"/>
        </w:rPr>
        <w:t>鼓励通过立体换乘提高换乘效率</w:t>
      </w:r>
      <w:r w:rsidR="00A06D49" w:rsidRPr="00B85FA7">
        <w:rPr>
          <w:rFonts w:hint="eastAsia"/>
        </w:rPr>
        <w:t>。</w:t>
      </w:r>
      <w:r w:rsidRPr="00B85FA7">
        <w:rPr>
          <w:rFonts w:hint="eastAsia"/>
        </w:rPr>
        <w:t>换乘通道宽度应按照单向</w:t>
      </w:r>
      <w:r w:rsidR="00906CF3" w:rsidRPr="00B85FA7">
        <w:t>5</w:t>
      </w:r>
      <w:r w:rsidRPr="00B85FA7">
        <w:rPr>
          <w:rFonts w:hint="eastAsia"/>
        </w:rPr>
        <w:t>000</w:t>
      </w:r>
      <w:r w:rsidRPr="00B85FA7">
        <w:rPr>
          <w:rFonts w:hint="eastAsia"/>
        </w:rPr>
        <w:t>人次</w:t>
      </w:r>
      <w:r w:rsidRPr="00B85FA7">
        <w:rPr>
          <w:rFonts w:hint="eastAsia"/>
        </w:rPr>
        <w:t>/</w:t>
      </w:r>
      <w:r w:rsidRPr="00B85FA7">
        <w:rPr>
          <w:rFonts w:hint="eastAsia"/>
        </w:rPr>
        <w:t>（</w:t>
      </w:r>
      <w:r w:rsidRPr="00B85FA7">
        <w:rPr>
          <w:rFonts w:hint="eastAsia"/>
        </w:rPr>
        <w:t>m</w:t>
      </w:r>
      <m:oMath>
        <m:r>
          <m:rPr>
            <m:sty m:val="p"/>
          </m:rPr>
          <w:rPr>
            <w:rFonts w:ascii="Cambria Math" w:hAnsi="Cambria Math"/>
          </w:rPr>
          <m:t>∙</m:t>
        </m:r>
      </m:oMath>
      <w:r w:rsidRPr="00B85FA7">
        <w:rPr>
          <w:rFonts w:hint="eastAsia"/>
        </w:rPr>
        <w:t>h</w:t>
      </w:r>
      <w:r w:rsidRPr="00B85FA7">
        <w:rPr>
          <w:rFonts w:hint="eastAsia"/>
        </w:rPr>
        <w:t>），双向</w:t>
      </w:r>
      <w:r w:rsidR="00906CF3" w:rsidRPr="00B85FA7">
        <w:t>4</w:t>
      </w:r>
      <w:r w:rsidRPr="00B85FA7">
        <w:rPr>
          <w:rFonts w:hint="eastAsia"/>
        </w:rPr>
        <w:t>000</w:t>
      </w:r>
      <w:r w:rsidRPr="00B85FA7">
        <w:rPr>
          <w:rFonts w:hint="eastAsia"/>
        </w:rPr>
        <w:t>人次</w:t>
      </w:r>
      <w:r w:rsidRPr="00B85FA7">
        <w:rPr>
          <w:rFonts w:hint="eastAsia"/>
        </w:rPr>
        <w:t>/</w:t>
      </w:r>
      <w:r w:rsidRPr="00B85FA7">
        <w:rPr>
          <w:rFonts w:hint="eastAsia"/>
        </w:rPr>
        <w:t>（</w:t>
      </w:r>
      <w:r w:rsidRPr="00B85FA7">
        <w:rPr>
          <w:rFonts w:hint="eastAsia"/>
        </w:rPr>
        <w:t>m</w:t>
      </w:r>
      <m:oMath>
        <m:r>
          <m:rPr>
            <m:sty m:val="p"/>
          </m:rPr>
          <w:rPr>
            <w:rFonts w:ascii="Cambria Math" w:hAnsi="Cambria Math"/>
          </w:rPr>
          <m:t>∙</m:t>
        </m:r>
      </m:oMath>
      <w:r w:rsidRPr="00B85FA7">
        <w:rPr>
          <w:rFonts w:hint="eastAsia"/>
        </w:rPr>
        <w:t>h</w:t>
      </w:r>
      <w:r w:rsidRPr="00B85FA7">
        <w:rPr>
          <w:rFonts w:hint="eastAsia"/>
        </w:rPr>
        <w:t>）计算，且应</w:t>
      </w:r>
      <m:oMath>
        <m:r>
          <m:rPr>
            <m:sty m:val="p"/>
          </m:rPr>
          <w:rPr>
            <w:rFonts w:ascii="Cambria Math" w:hAnsi="Cambria Math"/>
          </w:rPr>
          <m:t>≥</m:t>
        </m:r>
      </m:oMath>
      <w:r w:rsidRPr="00B85FA7">
        <w:rPr>
          <w:rFonts w:hint="eastAsia"/>
        </w:rPr>
        <w:t>3 m</w:t>
      </w:r>
      <w:r w:rsidRPr="00B85FA7">
        <w:rPr>
          <w:rFonts w:hint="eastAsia"/>
        </w:rPr>
        <w:t>。</w:t>
      </w:r>
    </w:p>
    <w:p w:rsidR="003D222B" w:rsidRPr="00B85FA7" w:rsidRDefault="003D222B" w:rsidP="00E83444">
      <w:pPr>
        <w:pStyle w:val="4"/>
      </w:pPr>
      <w:r w:rsidRPr="00B85FA7">
        <w:rPr>
          <w:rFonts w:hint="eastAsia"/>
        </w:rPr>
        <w:t>人流量</w:t>
      </w:r>
      <w:r w:rsidR="00906CF3" w:rsidRPr="00B85FA7">
        <w:rPr>
          <w:rFonts w:hint="eastAsia"/>
        </w:rPr>
        <w:t>过</w:t>
      </w:r>
      <w:r w:rsidRPr="00B85FA7">
        <w:rPr>
          <w:rFonts w:hint="eastAsia"/>
        </w:rPr>
        <w:t>大的轨道站</w:t>
      </w:r>
      <w:proofErr w:type="gramStart"/>
      <w:r w:rsidRPr="00B85FA7">
        <w:rPr>
          <w:rFonts w:hint="eastAsia"/>
        </w:rPr>
        <w:t>点鼓励</w:t>
      </w:r>
      <w:proofErr w:type="gramEnd"/>
      <w:r w:rsidRPr="00B85FA7">
        <w:rPr>
          <w:rFonts w:hint="eastAsia"/>
        </w:rPr>
        <w:t>采用换乘大厅方式组织步行换乘系统。换乘厅的使用面积应按乘客最高聚集人数计算，每人不小于</w:t>
      </w:r>
      <w:r w:rsidRPr="00B85FA7">
        <w:rPr>
          <w:rFonts w:hint="eastAsia"/>
        </w:rPr>
        <w:t>2 m</w:t>
      </w:r>
      <w:r w:rsidRPr="00B85FA7">
        <w:rPr>
          <w:rFonts w:hint="eastAsia"/>
          <w:vertAlign w:val="superscript"/>
        </w:rPr>
        <w:t>2</w:t>
      </w:r>
      <w:r w:rsidR="00A06D49" w:rsidRPr="00B85FA7">
        <w:rPr>
          <w:rFonts w:hint="eastAsia"/>
        </w:rPr>
        <w:t>；</w:t>
      </w:r>
      <w:r w:rsidRPr="00B85FA7">
        <w:rPr>
          <w:rFonts w:hint="eastAsia"/>
        </w:rPr>
        <w:t>换乘</w:t>
      </w:r>
      <w:proofErr w:type="gramStart"/>
      <w:r w:rsidRPr="00B85FA7">
        <w:rPr>
          <w:rFonts w:hint="eastAsia"/>
        </w:rPr>
        <w:t>厅空间</w:t>
      </w:r>
      <w:proofErr w:type="gramEnd"/>
      <w:r w:rsidRPr="00B85FA7">
        <w:rPr>
          <w:rFonts w:hint="eastAsia"/>
        </w:rPr>
        <w:t>高度宜在</w:t>
      </w:r>
      <w:r w:rsidRPr="00B85FA7">
        <w:rPr>
          <w:rFonts w:hint="eastAsia"/>
        </w:rPr>
        <w:t>5 m</w:t>
      </w:r>
      <w:r w:rsidRPr="00B85FA7">
        <w:rPr>
          <w:rFonts w:hint="eastAsia"/>
        </w:rPr>
        <w:t>以上。</w:t>
      </w:r>
    </w:p>
    <w:p w:rsidR="002C72DC" w:rsidRPr="00B85FA7" w:rsidRDefault="008411D0" w:rsidP="00D23FDD">
      <w:pPr>
        <w:pStyle w:val="2"/>
        <w:keepNext w:val="0"/>
        <w:keepLines w:val="0"/>
      </w:pPr>
      <w:bookmarkStart w:id="79" w:name="_Toc423222447"/>
      <w:bookmarkStart w:id="80" w:name="_Toc423222443"/>
      <w:bookmarkStart w:id="81" w:name="_Toc423222444"/>
      <w:bookmarkStart w:id="82" w:name="_Toc423222445"/>
      <w:bookmarkStart w:id="83" w:name="_Toc423222446"/>
      <w:bookmarkStart w:id="84" w:name="_Toc435545801"/>
      <w:bookmarkEnd w:id="79"/>
      <w:bookmarkEnd w:id="80"/>
      <w:bookmarkEnd w:id="81"/>
      <w:bookmarkEnd w:id="82"/>
      <w:bookmarkEnd w:id="83"/>
      <w:r w:rsidRPr="00B85FA7">
        <w:rPr>
          <w:rFonts w:hint="eastAsia"/>
        </w:rPr>
        <w:t>轨道站点出入口设计引导</w:t>
      </w:r>
      <w:bookmarkEnd w:id="84"/>
    </w:p>
    <w:p w:rsidR="002C72DC" w:rsidRPr="00B85FA7" w:rsidRDefault="008411D0" w:rsidP="00D23FDD">
      <w:pPr>
        <w:pStyle w:val="31"/>
      </w:pPr>
      <w:r w:rsidRPr="00B85FA7">
        <w:rPr>
          <w:rFonts w:hint="eastAsia"/>
        </w:rPr>
        <w:t>应将轨道站点出入口的设计范围扩展到整个轨道站点核心区。</w:t>
      </w:r>
    </w:p>
    <w:p w:rsidR="006F7894" w:rsidRPr="00B85FA7" w:rsidRDefault="006F7894">
      <w:pPr>
        <w:widowControl w:val="0"/>
        <w:spacing w:before="0" w:after="0"/>
        <w:ind w:left="2" w:firstLineChars="0" w:firstLine="0"/>
        <w:jc w:val="center"/>
        <w:rPr>
          <w:rFonts w:cs="Times New Roman"/>
          <w:kern w:val="0"/>
          <w:szCs w:val="24"/>
        </w:rPr>
      </w:pPr>
      <w:r w:rsidRPr="00B85FA7">
        <w:rPr>
          <w:rFonts w:cs="Times New Roman" w:hint="eastAsia"/>
          <w:noProof/>
          <w:kern w:val="0"/>
          <w:szCs w:val="24"/>
        </w:rPr>
        <w:drawing>
          <wp:inline distT="0" distB="0" distL="0" distR="0">
            <wp:extent cx="5165099" cy="2166378"/>
            <wp:effectExtent l="0" t="0" r="0" b="571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站点范围扩大0704.jpg"/>
                    <pic:cNvPicPr/>
                  </pic:nvPicPr>
                  <pic:blipFill rotWithShape="1">
                    <a:blip r:embed="rId57" cstate="print">
                      <a:extLst>
                        <a:ext uri="{28A0092B-C50C-407E-A947-70E740481C1C}">
                          <a14:useLocalDpi xmlns:a14="http://schemas.microsoft.com/office/drawing/2010/main" val="0"/>
                        </a:ext>
                      </a:extLst>
                    </a:blip>
                    <a:srcRect l="520" t="2156" r="1007" b="-1"/>
                    <a:stretch/>
                  </pic:blipFill>
                  <pic:spPr bwMode="auto">
                    <a:xfrm>
                      <a:off x="0" y="0"/>
                      <a:ext cx="5166851" cy="2167113"/>
                    </a:xfrm>
                    <a:prstGeom prst="rect">
                      <a:avLst/>
                    </a:prstGeom>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r w:rsidRPr="00B85FA7">
        <w:rPr>
          <w:rFonts w:cs="Times New Roman" w:hint="eastAsia"/>
          <w:kern w:val="0"/>
        </w:rPr>
        <w:t>轨道站点出入口的设计范围应</w:t>
      </w:r>
      <w:r w:rsidRPr="00B85FA7">
        <w:rPr>
          <w:rFonts w:cs="Times New Roman"/>
          <w:kern w:val="0"/>
        </w:rPr>
        <w:t>覆盖</w:t>
      </w:r>
      <w:r w:rsidRPr="00B85FA7">
        <w:rPr>
          <w:rFonts w:hint="eastAsia"/>
        </w:rPr>
        <w:t>轨道</w:t>
      </w:r>
      <w:r w:rsidRPr="00B85FA7">
        <w:t>站点核心区</w:t>
      </w:r>
    </w:p>
    <w:p w:rsidR="002C72DC" w:rsidRPr="00B85FA7" w:rsidRDefault="008411D0" w:rsidP="00275CCE">
      <w:pPr>
        <w:pStyle w:val="31"/>
      </w:pPr>
      <w:r w:rsidRPr="00B85FA7">
        <w:rPr>
          <w:rFonts w:hint="eastAsia"/>
        </w:rPr>
        <w:t>轨道站点应尽量增加出入口数量，实现与周边道路、建筑和公共空间的一体化衔接。</w:t>
      </w:r>
    </w:p>
    <w:p w:rsidR="002C72DC" w:rsidRPr="00B85FA7" w:rsidRDefault="00291A3A">
      <w:pPr>
        <w:widowControl w:val="0"/>
        <w:spacing w:before="0" w:after="0"/>
        <w:ind w:firstLineChars="0" w:firstLine="0"/>
        <w:jc w:val="center"/>
        <w:rPr>
          <w:rFonts w:cs="Times New Roman"/>
          <w:kern w:val="0"/>
          <w:szCs w:val="24"/>
        </w:rPr>
      </w:pPr>
      <w:r w:rsidRPr="00B85FA7">
        <w:rPr>
          <w:rFonts w:cs="Times New Roman"/>
          <w:noProof/>
          <w:kern w:val="0"/>
          <w:szCs w:val="24"/>
        </w:rPr>
        <w:lastRenderedPageBreak/>
        <w:drawing>
          <wp:inline distT="0" distB="0" distL="0" distR="0">
            <wp:extent cx="4465712" cy="3056812"/>
            <wp:effectExtent l="0" t="0" r="0" b="0"/>
            <wp:docPr id="4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pic:cNvPicPr>
                      <a:picLocks noChangeAspect="1" noChangeArrowheads="1"/>
                    </pic:cNvPicPr>
                  </pic:nvPicPr>
                  <pic:blipFill rotWithShape="1">
                    <a:blip r:embed="rId58">
                      <a:extLst>
                        <a:ext uri="{28A0092B-C50C-407E-A947-70E740481C1C}">
                          <a14:useLocalDpi xmlns:a14="http://schemas.microsoft.com/office/drawing/2010/main" val="0"/>
                        </a:ext>
                      </a:extLst>
                    </a:blip>
                    <a:srcRect b="1818"/>
                    <a:stretch/>
                  </pic:blipFill>
                  <pic:spPr bwMode="auto">
                    <a:xfrm>
                      <a:off x="0" y="0"/>
                      <a:ext cx="4471532" cy="3060796"/>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r w:rsidRPr="00B85FA7">
        <w:rPr>
          <w:rFonts w:hint="eastAsia"/>
        </w:rPr>
        <w:t>增加轨道</w:t>
      </w:r>
      <w:r w:rsidRPr="00B85FA7">
        <w:t>站</w:t>
      </w:r>
      <w:r w:rsidRPr="00B85FA7">
        <w:rPr>
          <w:rFonts w:hint="eastAsia"/>
        </w:rPr>
        <w:t>点出入口数量</w:t>
      </w:r>
    </w:p>
    <w:p w:rsidR="002C72DC" w:rsidRPr="00B85FA7" w:rsidRDefault="008411D0">
      <w:pPr>
        <w:pStyle w:val="31"/>
      </w:pPr>
      <w:r w:rsidRPr="00B85FA7">
        <w:rPr>
          <w:rFonts w:hint="eastAsia"/>
        </w:rPr>
        <w:t>轨道站点出入口应充分结合周边支路设置，站点核心区中每条支路都宜有出入口与其直接连接。</w:t>
      </w:r>
    </w:p>
    <w:p w:rsidR="00291A3A" w:rsidRPr="00B85FA7" w:rsidRDefault="00291A3A" w:rsidP="00D23FDD">
      <w:pPr>
        <w:ind w:firstLineChars="0" w:firstLine="0"/>
        <w:jc w:val="center"/>
      </w:pPr>
      <w:r w:rsidRPr="00B85FA7">
        <w:rPr>
          <w:noProof/>
        </w:rPr>
        <w:drawing>
          <wp:inline distT="0" distB="0" distL="0" distR="0">
            <wp:extent cx="5021580" cy="2819400"/>
            <wp:effectExtent l="0" t="0" r="7620" b="0"/>
            <wp:docPr id="135" name="图片 135" descr="E:\20150625\案例照片\结合支路_柏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20150625\案例照片\结合支路_柏林.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21580" cy="2819400"/>
                    </a:xfrm>
                    <a:prstGeom prst="rect">
                      <a:avLst/>
                    </a:prstGeom>
                    <a:noFill/>
                    <a:ln>
                      <a:noFill/>
                    </a:ln>
                  </pic:spPr>
                </pic:pic>
              </a:graphicData>
            </a:graphic>
          </wp:inline>
        </w:drawing>
      </w:r>
    </w:p>
    <w:p w:rsidR="00291A3A" w:rsidRPr="00B85FA7" w:rsidRDefault="00291A3A" w:rsidP="00D23FDD">
      <w:pPr>
        <w:pStyle w:val="a"/>
      </w:pPr>
      <w:r w:rsidRPr="00B85FA7">
        <w:rPr>
          <w:rFonts w:hint="eastAsia"/>
        </w:rPr>
        <w:t>结合支路设置轨道站点出入口</w:t>
      </w:r>
    </w:p>
    <w:p w:rsidR="002C72DC" w:rsidRPr="00B85FA7" w:rsidRDefault="008411D0" w:rsidP="00D23FDD">
      <w:pPr>
        <w:pStyle w:val="31"/>
      </w:pPr>
      <w:r w:rsidRPr="00B85FA7">
        <w:rPr>
          <w:rFonts w:hint="eastAsia"/>
        </w:rPr>
        <w:t>轨道站点出入口应与周边建筑紧密衔接。</w:t>
      </w:r>
    </w:p>
    <w:p w:rsidR="002C72DC" w:rsidRPr="00B85FA7" w:rsidRDefault="008411D0" w:rsidP="00E174E9">
      <w:pPr>
        <w:pStyle w:val="4"/>
        <w:numPr>
          <w:ilvl w:val="3"/>
          <w:numId w:val="31"/>
        </w:numPr>
      </w:pPr>
      <w:r w:rsidRPr="00B85FA7">
        <w:rPr>
          <w:rFonts w:hint="eastAsia"/>
        </w:rPr>
        <w:t>轨道站点核心区新建建筑有地下商业功能的，原则上应有出入口直接连通</w:t>
      </w:r>
      <w:r w:rsidRPr="00B85FA7">
        <w:rPr>
          <w:rFonts w:hint="eastAsia"/>
        </w:rPr>
        <w:lastRenderedPageBreak/>
        <w:t>建筑地下空间；在既有建成区建设轨道站点时，应通过改造使轨道站点出入口可以直接连通核心区原有的地下商业空间。</w:t>
      </w:r>
    </w:p>
    <w:p w:rsidR="002C72DC" w:rsidRPr="00B85FA7" w:rsidRDefault="00291A3A">
      <w:pPr>
        <w:ind w:firstLineChars="0" w:firstLine="0"/>
        <w:jc w:val="center"/>
      </w:pPr>
      <w:r w:rsidRPr="00B85FA7">
        <w:rPr>
          <w:noProof/>
        </w:rPr>
        <w:drawing>
          <wp:inline distT="0" distB="0" distL="0" distR="0">
            <wp:extent cx="5176393" cy="1986111"/>
            <wp:effectExtent l="0" t="0" r="5715" b="0"/>
            <wp:docPr id="46" name="图片框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64"/>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9538" b="13213"/>
                    <a:stretch/>
                  </pic:blipFill>
                  <pic:spPr bwMode="auto">
                    <a:xfrm>
                      <a:off x="0" y="0"/>
                      <a:ext cx="5183340" cy="1988777"/>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r w:rsidRPr="00B85FA7">
        <w:rPr>
          <w:rFonts w:hint="eastAsia"/>
        </w:rPr>
        <w:t>通过</w:t>
      </w:r>
      <w:proofErr w:type="gramStart"/>
      <w:r w:rsidRPr="00B85FA7">
        <w:rPr>
          <w:rFonts w:hint="eastAsia"/>
        </w:rPr>
        <w:t>轨道站厅层衔接</w:t>
      </w:r>
      <w:proofErr w:type="gramEnd"/>
      <w:r w:rsidRPr="00B85FA7">
        <w:rPr>
          <w:rFonts w:hint="eastAsia"/>
        </w:rPr>
        <w:t>道路两侧物业开发的地下空间</w:t>
      </w:r>
    </w:p>
    <w:p w:rsidR="002C72DC" w:rsidRPr="00B85FA7" w:rsidRDefault="00291A3A">
      <w:pPr>
        <w:ind w:firstLineChars="0" w:firstLine="0"/>
        <w:jc w:val="center"/>
      </w:pPr>
      <w:r w:rsidRPr="00B85FA7">
        <w:rPr>
          <w:noProof/>
        </w:rPr>
        <w:drawing>
          <wp:inline distT="0" distB="0" distL="0" distR="0">
            <wp:extent cx="2787091" cy="1616075"/>
            <wp:effectExtent l="0" t="0" r="0" b="3175"/>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rotWithShape="1">
                    <a:blip r:embed="rId61">
                      <a:extLst>
                        <a:ext uri="{28A0092B-C50C-407E-A947-70E740481C1C}">
                          <a14:useLocalDpi xmlns:a14="http://schemas.microsoft.com/office/drawing/2010/main" val="0"/>
                        </a:ext>
                      </a:extLst>
                    </a:blip>
                    <a:srcRect t="7176" r="13848" b="17249"/>
                    <a:stretch/>
                  </pic:blipFill>
                  <pic:spPr bwMode="auto">
                    <a:xfrm>
                      <a:off x="0" y="0"/>
                      <a:ext cx="2787091" cy="1616075"/>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r w:rsidRPr="00B85FA7">
        <w:rPr>
          <w:rFonts w:hint="eastAsia"/>
        </w:rPr>
        <w:t>通过延伸出入口连接轨道与物业开发的地下空间</w:t>
      </w:r>
    </w:p>
    <w:p w:rsidR="002C72DC" w:rsidRPr="00B85FA7" w:rsidRDefault="00291A3A">
      <w:pPr>
        <w:ind w:firstLineChars="0" w:firstLine="0"/>
        <w:jc w:val="center"/>
        <w:rPr>
          <w:szCs w:val="24"/>
        </w:rPr>
      </w:pPr>
      <w:r w:rsidRPr="00B85FA7">
        <w:rPr>
          <w:noProof/>
        </w:rPr>
        <w:drawing>
          <wp:inline distT="0" distB="0" distL="0" distR="0">
            <wp:extent cx="5184475" cy="1617825"/>
            <wp:effectExtent l="0" t="0" r="0" b="1905"/>
            <wp:docPr id="48" name="图片框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163"/>
                    <pic:cNvPicPr>
                      <a:picLocks noChangeAspect="1" noChangeArrowheads="1"/>
                    </pic:cNvPicPr>
                  </pic:nvPicPr>
                  <pic:blipFill rotWithShape="1">
                    <a:blip r:embed="rId62">
                      <a:extLst>
                        <a:ext uri="{28A0092B-C50C-407E-A947-70E740481C1C}">
                          <a14:useLocalDpi xmlns:a14="http://schemas.microsoft.com/office/drawing/2010/main" val="0"/>
                        </a:ext>
                      </a:extLst>
                    </a:blip>
                    <a:srcRect l="2257" t="7444" r="2114" b="14182"/>
                    <a:stretch/>
                  </pic:blipFill>
                  <pic:spPr bwMode="auto">
                    <a:xfrm>
                      <a:off x="0" y="0"/>
                      <a:ext cx="5219231" cy="1628671"/>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pPr>
      <w:r w:rsidRPr="00B85FA7">
        <w:rPr>
          <w:rFonts w:hint="eastAsia"/>
        </w:rPr>
        <w:t>通过调整对接方式改善空间及优化连接</w:t>
      </w:r>
    </w:p>
    <w:p w:rsidR="002C72DC" w:rsidRPr="00B85FA7" w:rsidRDefault="008411D0" w:rsidP="00A06D49">
      <w:pPr>
        <w:pStyle w:val="4"/>
      </w:pPr>
      <w:r w:rsidRPr="00B85FA7">
        <w:rPr>
          <w:rFonts w:hint="eastAsia"/>
        </w:rPr>
        <w:t>轨道站点出入口应尽量设置在地块红线以内，避免占用道路红线内的人行</w:t>
      </w:r>
      <w:r w:rsidRPr="00B85FA7">
        <w:rPr>
          <w:rFonts w:hint="eastAsia"/>
        </w:rPr>
        <w:lastRenderedPageBreak/>
        <w:t>空间。鼓励站点出入口与周边建筑组合设计，统一考虑建筑设计方案。</w:t>
      </w:r>
    </w:p>
    <w:p w:rsidR="002C72DC" w:rsidRPr="00B85FA7" w:rsidRDefault="00291A3A">
      <w:pPr>
        <w:widowControl w:val="0"/>
        <w:spacing w:before="0" w:after="0"/>
        <w:ind w:left="227" w:firstLineChars="0" w:firstLine="0"/>
        <w:jc w:val="center"/>
        <w:rPr>
          <w:rFonts w:cs="Times New Roman"/>
          <w:kern w:val="0"/>
          <w:szCs w:val="24"/>
        </w:rPr>
      </w:pPr>
      <w:r w:rsidRPr="00B85FA7">
        <w:rPr>
          <w:rFonts w:cs="Times New Roman"/>
          <w:noProof/>
          <w:kern w:val="0"/>
          <w:szCs w:val="24"/>
        </w:rPr>
        <w:drawing>
          <wp:inline distT="0" distB="0" distL="0" distR="0">
            <wp:extent cx="3255694" cy="2333549"/>
            <wp:effectExtent l="0" t="0" r="1905" b="0"/>
            <wp:docPr id="49"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391" b="2235"/>
                    <a:stretch/>
                  </pic:blipFill>
                  <pic:spPr bwMode="auto">
                    <a:xfrm>
                      <a:off x="0" y="0"/>
                      <a:ext cx="3264455" cy="2339829"/>
                    </a:xfrm>
                    <a:prstGeom prst="rect">
                      <a:avLst/>
                    </a:prstGeom>
                    <a:noFill/>
                    <a:ln>
                      <a:noFill/>
                    </a:ln>
                    <a:extLst>
                      <a:ext uri="{53640926-AAD7-44D8-BBD7-CCE9431645EC}">
                        <a14:shadowObscured xmlns:a14="http://schemas.microsoft.com/office/drawing/2010/main"/>
                      </a:ext>
                    </a:extLst>
                  </pic:spPr>
                </pic:pic>
              </a:graphicData>
            </a:graphic>
          </wp:inline>
        </w:drawing>
      </w:r>
    </w:p>
    <w:p w:rsidR="002C72DC" w:rsidRPr="00B85FA7" w:rsidRDefault="008411D0">
      <w:pPr>
        <w:pStyle w:val="a"/>
        <w:widowControl w:val="0"/>
      </w:pPr>
      <w:r w:rsidRPr="00B85FA7">
        <w:rPr>
          <w:rFonts w:hint="eastAsia"/>
        </w:rPr>
        <w:t>与建筑</w:t>
      </w:r>
      <w:r w:rsidRPr="00B85FA7">
        <w:t>组合设置轨道站点出入口</w:t>
      </w:r>
    </w:p>
    <w:p w:rsidR="002C72DC" w:rsidRPr="00B85FA7" w:rsidRDefault="008411D0" w:rsidP="00A06D49">
      <w:pPr>
        <w:pStyle w:val="4"/>
        <w:rPr>
          <w:b/>
        </w:rPr>
      </w:pPr>
      <w:r w:rsidRPr="00B85FA7">
        <w:rPr>
          <w:rFonts w:hint="eastAsia"/>
        </w:rPr>
        <w:t>轨道站点与建筑直接连接时，应充分考虑周边物业的管理实际，满足疏散要求，在靠近轨道站点出入口处设置直通地面的辅助出入口。</w:t>
      </w:r>
    </w:p>
    <w:p w:rsidR="002C72DC" w:rsidRPr="00B85FA7" w:rsidRDefault="008411D0" w:rsidP="00D23FDD">
      <w:pPr>
        <w:pStyle w:val="31"/>
      </w:pPr>
      <w:r w:rsidRPr="00B85FA7">
        <w:rPr>
          <w:rFonts w:hint="eastAsia"/>
        </w:rPr>
        <w:t>轨道站点出入口设置应与公共空间一体化设计。</w:t>
      </w:r>
    </w:p>
    <w:p w:rsidR="002C72DC" w:rsidRPr="00B85FA7" w:rsidRDefault="008411D0" w:rsidP="00E174E9">
      <w:pPr>
        <w:pStyle w:val="4"/>
        <w:numPr>
          <w:ilvl w:val="3"/>
          <w:numId w:val="32"/>
        </w:numPr>
      </w:pPr>
      <w:r w:rsidRPr="00B85FA7">
        <w:rPr>
          <w:rFonts w:hint="eastAsia"/>
        </w:rPr>
        <w:t>轨道站点与城市功能之间有高架桥、水系等地面障碍时，应延长进出站通道长度</w:t>
      </w:r>
      <w:r w:rsidR="00B31AA5" w:rsidRPr="00B85FA7">
        <w:rPr>
          <w:rFonts w:hint="eastAsia"/>
        </w:rPr>
        <w:t>，</w:t>
      </w:r>
      <w:r w:rsidRPr="00B85FA7">
        <w:rPr>
          <w:rFonts w:hint="eastAsia"/>
        </w:rPr>
        <w:t>增加出入口跨越障碍，为乘客提供人车分行的舒适环境。</w:t>
      </w:r>
    </w:p>
    <w:p w:rsidR="006F7894" w:rsidRPr="00B85FA7" w:rsidRDefault="006F7894" w:rsidP="00D23FDD">
      <w:pPr>
        <w:widowControl w:val="0"/>
        <w:ind w:firstLineChars="0" w:firstLine="0"/>
        <w:jc w:val="center"/>
      </w:pPr>
      <w:r w:rsidRPr="00B85FA7">
        <w:rPr>
          <w:rFonts w:hint="eastAsia"/>
          <w:noProof/>
        </w:rPr>
        <w:drawing>
          <wp:inline distT="0" distB="0" distL="0" distR="0">
            <wp:extent cx="3315448" cy="2760033"/>
            <wp:effectExtent l="0" t="0" r="0" b="254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跨越障碍.jpg"/>
                    <pic:cNvPicPr/>
                  </pic:nvPicPr>
                  <pic:blipFill rotWithShape="1">
                    <a:blip r:embed="rId64" cstate="print">
                      <a:extLst>
                        <a:ext uri="{28A0092B-C50C-407E-A947-70E740481C1C}">
                          <a14:useLocalDpi xmlns:a14="http://schemas.microsoft.com/office/drawing/2010/main" val="0"/>
                        </a:ext>
                      </a:extLst>
                    </a:blip>
                    <a:srcRect t="7102" r="2720" b="1382"/>
                    <a:stretch/>
                  </pic:blipFill>
                  <pic:spPr bwMode="auto">
                    <a:xfrm>
                      <a:off x="0" y="0"/>
                      <a:ext cx="3336090" cy="2777217"/>
                    </a:xfrm>
                    <a:prstGeom prst="rect">
                      <a:avLst/>
                    </a:prstGeom>
                    <a:ln>
                      <a:noFill/>
                    </a:ln>
                    <a:extLst>
                      <a:ext uri="{53640926-AAD7-44D8-BBD7-CCE9431645EC}">
                        <a14:shadowObscured xmlns:a14="http://schemas.microsoft.com/office/drawing/2010/main"/>
                      </a:ext>
                    </a:extLst>
                  </pic:spPr>
                </pic:pic>
              </a:graphicData>
            </a:graphic>
          </wp:inline>
        </w:drawing>
      </w:r>
    </w:p>
    <w:p w:rsidR="002C72DC" w:rsidRPr="00B85FA7" w:rsidRDefault="008411D0" w:rsidP="00D23FDD">
      <w:pPr>
        <w:pStyle w:val="a"/>
        <w:widowControl w:val="0"/>
      </w:pPr>
      <w:r w:rsidRPr="00B85FA7">
        <w:rPr>
          <w:rFonts w:hint="eastAsia"/>
        </w:rPr>
        <w:t>站点出入口应</w:t>
      </w:r>
      <w:r w:rsidRPr="00B85FA7">
        <w:t>跨越快速路等</w:t>
      </w:r>
      <w:r w:rsidRPr="00B85FA7">
        <w:rPr>
          <w:rFonts w:hint="eastAsia"/>
        </w:rPr>
        <w:t>障碍衔接</w:t>
      </w:r>
      <w:r w:rsidRPr="00B85FA7">
        <w:t>各类</w:t>
      </w:r>
      <w:r w:rsidRPr="00B85FA7">
        <w:rPr>
          <w:rFonts w:hint="eastAsia"/>
        </w:rPr>
        <w:t>城市功能</w:t>
      </w:r>
    </w:p>
    <w:p w:rsidR="002C72DC" w:rsidRPr="00B85FA7" w:rsidRDefault="008411D0" w:rsidP="00A06D49">
      <w:pPr>
        <w:pStyle w:val="4"/>
      </w:pPr>
      <w:r w:rsidRPr="00B85FA7">
        <w:rPr>
          <w:rFonts w:hint="eastAsia"/>
        </w:rPr>
        <w:lastRenderedPageBreak/>
        <w:t>应满足周边地区的环境景观与生态保护要求，延续区域原有肌理和历史文脉。</w:t>
      </w:r>
    </w:p>
    <w:p w:rsidR="002C72DC" w:rsidRPr="00B85FA7" w:rsidRDefault="008411D0" w:rsidP="00A06D49">
      <w:pPr>
        <w:pStyle w:val="4"/>
      </w:pPr>
      <w:r w:rsidRPr="00B85FA7">
        <w:rPr>
          <w:rFonts w:hint="eastAsia"/>
        </w:rPr>
        <w:t>应尽量避免与重要景点及人流集中场所过分临近，可结合周边开敞空间、生态绿地酌情</w:t>
      </w:r>
      <w:r w:rsidRPr="00B85FA7">
        <w:t>设置站前集散广场</w:t>
      </w:r>
      <w:r w:rsidRPr="00B85FA7">
        <w:rPr>
          <w:rFonts w:hint="eastAsia"/>
        </w:rPr>
        <w:t>，引导人流方便、快捷地疏散。</w:t>
      </w:r>
    </w:p>
    <w:p w:rsidR="002C72DC" w:rsidRPr="00B85FA7" w:rsidRDefault="00291A3A" w:rsidP="00291A3A">
      <w:pPr>
        <w:widowControl w:val="0"/>
        <w:adjustRightInd w:val="0"/>
        <w:snapToGrid w:val="0"/>
        <w:spacing w:before="240" w:after="0"/>
        <w:ind w:left="284" w:firstLineChars="0" w:firstLine="0"/>
        <w:textAlignment w:val="baseline"/>
        <w:outlineLvl w:val="2"/>
        <w:rPr>
          <w:b/>
          <w:szCs w:val="24"/>
        </w:rPr>
      </w:pPr>
      <w:r w:rsidRPr="00B85FA7">
        <w:rPr>
          <w:b/>
          <w:noProof/>
          <w:szCs w:val="24"/>
        </w:rPr>
        <w:drawing>
          <wp:inline distT="0" distB="0" distL="0" distR="0">
            <wp:extent cx="4808220" cy="3528060"/>
            <wp:effectExtent l="0" t="0" r="0" b="0"/>
            <wp:docPr id="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08220" cy="3528060"/>
                    </a:xfrm>
                    <a:prstGeom prst="rect">
                      <a:avLst/>
                    </a:prstGeom>
                    <a:noFill/>
                    <a:ln>
                      <a:noFill/>
                    </a:ln>
                  </pic:spPr>
                </pic:pic>
              </a:graphicData>
            </a:graphic>
          </wp:inline>
        </w:drawing>
      </w:r>
    </w:p>
    <w:p w:rsidR="002C72DC" w:rsidRPr="00B85FA7" w:rsidRDefault="008411D0" w:rsidP="00D23FDD">
      <w:pPr>
        <w:pStyle w:val="a"/>
        <w:widowControl w:val="0"/>
      </w:pPr>
      <w:r w:rsidRPr="00B85FA7">
        <w:rPr>
          <w:rFonts w:hint="eastAsia"/>
        </w:rPr>
        <w:t>轨道站点出入口可同时</w:t>
      </w:r>
      <w:r w:rsidRPr="00B85FA7">
        <w:t>衔接建筑</w:t>
      </w:r>
      <w:r w:rsidRPr="00B85FA7">
        <w:rPr>
          <w:rFonts w:hint="eastAsia"/>
        </w:rPr>
        <w:t>及下沉广场</w:t>
      </w:r>
      <w:r w:rsidRPr="00B85FA7">
        <w:t>等公共空间</w:t>
      </w:r>
    </w:p>
    <w:p w:rsidR="002C72DC" w:rsidRPr="00B85FA7" w:rsidRDefault="00291A3A" w:rsidP="00D23FDD">
      <w:pPr>
        <w:pStyle w:val="a"/>
        <w:widowControl w:val="0"/>
        <w:numPr>
          <w:ilvl w:val="5"/>
          <w:numId w:val="0"/>
        </w:numPr>
        <w:jc w:val="left"/>
      </w:pPr>
      <w:r w:rsidRPr="00B85FA7">
        <w:rPr>
          <w:noProof/>
        </w:rPr>
        <w:drawing>
          <wp:inline distT="0" distB="0" distL="0" distR="0">
            <wp:extent cx="5250180" cy="2171700"/>
            <wp:effectExtent l="0" t="0" r="7620" b="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50180" cy="2171700"/>
                    </a:xfrm>
                    <a:prstGeom prst="rect">
                      <a:avLst/>
                    </a:prstGeom>
                    <a:noFill/>
                    <a:ln>
                      <a:noFill/>
                    </a:ln>
                  </pic:spPr>
                </pic:pic>
              </a:graphicData>
            </a:graphic>
          </wp:inline>
        </w:drawing>
      </w:r>
    </w:p>
    <w:p w:rsidR="002C72DC" w:rsidRPr="00B85FA7" w:rsidRDefault="008411D0" w:rsidP="00D23FDD">
      <w:pPr>
        <w:pStyle w:val="a"/>
        <w:widowControl w:val="0"/>
      </w:pPr>
      <w:r w:rsidRPr="00B85FA7">
        <w:rPr>
          <w:rFonts w:hint="eastAsia"/>
        </w:rPr>
        <w:t>轨道站点应与公共空间一体化设计</w:t>
      </w:r>
    </w:p>
    <w:p w:rsidR="002C72DC" w:rsidRPr="00B85FA7" w:rsidRDefault="008411D0" w:rsidP="006F7894">
      <w:pPr>
        <w:pStyle w:val="31"/>
      </w:pPr>
      <w:r w:rsidRPr="00B85FA7">
        <w:rPr>
          <w:rFonts w:hint="eastAsia"/>
        </w:rPr>
        <w:t>轨道站点出入口应优先保障与</w:t>
      </w:r>
      <w:r w:rsidR="009A52F1" w:rsidRPr="00B85FA7">
        <w:rPr>
          <w:rFonts w:hint="eastAsia"/>
        </w:rPr>
        <w:t>地面</w:t>
      </w:r>
      <w:r w:rsidRPr="00B85FA7">
        <w:rPr>
          <w:rFonts w:hint="eastAsia"/>
        </w:rPr>
        <w:t>公交等交通设施的便捷换乘，设置连续</w:t>
      </w:r>
      <w:r w:rsidRPr="00B85FA7">
        <w:rPr>
          <w:rFonts w:hint="eastAsia"/>
        </w:rPr>
        <w:lastRenderedPageBreak/>
        <w:t>步行通道和明显的交通导向标志。</w:t>
      </w:r>
    </w:p>
    <w:p w:rsidR="002C72DC" w:rsidRPr="00B85FA7" w:rsidRDefault="008411D0" w:rsidP="00D23FDD">
      <w:pPr>
        <w:pStyle w:val="31"/>
      </w:pPr>
      <w:r w:rsidRPr="00B85FA7">
        <w:rPr>
          <w:rFonts w:hint="eastAsia"/>
        </w:rPr>
        <w:t>轨道站点出入口最小宽度不应少于</w:t>
      </w:r>
      <w:r w:rsidRPr="00B85FA7">
        <w:t>2.5 m</w:t>
      </w:r>
      <w:r w:rsidRPr="00B85FA7">
        <w:rPr>
          <w:rFonts w:hint="eastAsia"/>
        </w:rPr>
        <w:t>，并应设置醒目、统一的轨道标志。地下出入口通道长度超过</w:t>
      </w:r>
      <w:r w:rsidRPr="00B85FA7">
        <w:t>100</w:t>
      </w:r>
      <w:r w:rsidR="00940BD6">
        <w:rPr>
          <w:rFonts w:hint="eastAsia"/>
        </w:rPr>
        <w:t xml:space="preserve"> </w:t>
      </w:r>
      <w:r w:rsidRPr="00B85FA7">
        <w:t>m</w:t>
      </w:r>
      <w:r w:rsidRPr="00B85FA7">
        <w:rPr>
          <w:rFonts w:hint="eastAsia"/>
        </w:rPr>
        <w:t>时，应采取必要的消防疏散措施，有条件时宜设置自动人行道。</w:t>
      </w:r>
    </w:p>
    <w:p w:rsidR="002C72DC" w:rsidRPr="00B85FA7" w:rsidRDefault="008411D0" w:rsidP="00B31AA5">
      <w:pPr>
        <w:pStyle w:val="31"/>
      </w:pPr>
      <w:r w:rsidRPr="00B85FA7">
        <w:rPr>
          <w:rFonts w:hint="eastAsia"/>
        </w:rPr>
        <w:t>轨道站点出入口兼</w:t>
      </w:r>
      <w:r w:rsidR="00B13872" w:rsidRPr="00B85FA7">
        <w:rPr>
          <w:rFonts w:hint="eastAsia"/>
        </w:rPr>
        <w:t>做</w:t>
      </w:r>
      <w:r w:rsidRPr="00B85FA7">
        <w:rPr>
          <w:rFonts w:hint="eastAsia"/>
        </w:rPr>
        <w:t>人行过街地道时，其通道及站厅相应部位的宽度设计应同时考虑过街客流量，且应设置轨道夜间停运</w:t>
      </w:r>
      <w:r w:rsidR="00D23FDD" w:rsidRPr="00B85FA7">
        <w:rPr>
          <w:rFonts w:hint="eastAsia"/>
        </w:rPr>
        <w:t>后</w:t>
      </w:r>
      <w:r w:rsidRPr="00B85FA7">
        <w:rPr>
          <w:rFonts w:hint="eastAsia"/>
        </w:rPr>
        <w:t>所需的隔离设施。</w:t>
      </w:r>
    </w:p>
    <w:p w:rsidR="002C72DC" w:rsidRPr="00B85FA7" w:rsidRDefault="008411D0" w:rsidP="00D23FDD">
      <w:pPr>
        <w:pStyle w:val="2"/>
        <w:keepNext w:val="0"/>
        <w:keepLines w:val="0"/>
      </w:pPr>
      <w:bookmarkStart w:id="85" w:name="_Toc423222449"/>
      <w:bookmarkStart w:id="86" w:name="_Toc423222450"/>
      <w:bookmarkStart w:id="87" w:name="_Toc423222451"/>
      <w:bookmarkStart w:id="88" w:name="_Toc423222452"/>
      <w:bookmarkStart w:id="89" w:name="_Toc435545802"/>
      <w:bookmarkEnd w:id="85"/>
      <w:bookmarkEnd w:id="86"/>
      <w:bookmarkEnd w:id="87"/>
      <w:bookmarkEnd w:id="88"/>
      <w:r w:rsidRPr="00B85FA7">
        <w:rPr>
          <w:rFonts w:hint="eastAsia"/>
        </w:rPr>
        <w:t>地下</w:t>
      </w:r>
      <w:r w:rsidR="00966EFB" w:rsidRPr="00B85FA7">
        <w:rPr>
          <w:rFonts w:hint="eastAsia"/>
        </w:rPr>
        <w:t>空间</w:t>
      </w:r>
      <w:r w:rsidRPr="00B85FA7">
        <w:rPr>
          <w:rFonts w:hint="eastAsia"/>
        </w:rPr>
        <w:t>一体化控制</w:t>
      </w:r>
      <w:bookmarkEnd w:id="89"/>
    </w:p>
    <w:p w:rsidR="00966EFB" w:rsidRPr="00B85FA7" w:rsidRDefault="00966EFB" w:rsidP="00966EFB">
      <w:pPr>
        <w:pStyle w:val="31"/>
      </w:pPr>
      <w:r w:rsidRPr="00B85FA7">
        <w:rPr>
          <w:rFonts w:hint="eastAsia"/>
        </w:rPr>
        <w:t>在轨道站点一体化设计阶段，应同步开展地下空间规划，对轨道站点、商业开发、市政管线、过街通道等进行一体化设计；确定地下空间的规模和建设时序；确定重点进行商业开发的区域。设计成果纳入用地出让时的规划控制条件。</w:t>
      </w:r>
    </w:p>
    <w:p w:rsidR="00966EFB" w:rsidRPr="00B85FA7" w:rsidRDefault="00966EFB" w:rsidP="00966EFB">
      <w:pPr>
        <w:pStyle w:val="31"/>
      </w:pPr>
      <w:r w:rsidRPr="00B85FA7">
        <w:rPr>
          <w:rFonts w:hint="eastAsia"/>
        </w:rPr>
        <w:t>鼓励轨道线路与地下综合管廊同步设计</w:t>
      </w:r>
      <w:r w:rsidR="006765A6" w:rsidRPr="00B85FA7">
        <w:rPr>
          <w:rFonts w:hint="eastAsia"/>
        </w:rPr>
        <w:t>、</w:t>
      </w:r>
      <w:r w:rsidRPr="00B85FA7">
        <w:rPr>
          <w:rFonts w:hint="eastAsia"/>
        </w:rPr>
        <w:t>同步建设。</w:t>
      </w:r>
    </w:p>
    <w:p w:rsidR="002C72DC" w:rsidRPr="00B85FA7" w:rsidRDefault="00D948CE" w:rsidP="00E174E9">
      <w:pPr>
        <w:pStyle w:val="4"/>
        <w:numPr>
          <w:ilvl w:val="3"/>
          <w:numId w:val="33"/>
        </w:numPr>
      </w:pPr>
      <w:r w:rsidRPr="00B85FA7">
        <w:rPr>
          <w:rFonts w:hint="eastAsia"/>
        </w:rPr>
        <w:t>轨道区间并行段的综合管廊，宜布置在轨道一侧、非机动车道下，便于利用绿化带布置检修口、排风口、</w:t>
      </w:r>
      <w:proofErr w:type="gramStart"/>
      <w:r w:rsidRPr="00B85FA7">
        <w:rPr>
          <w:rFonts w:hint="eastAsia"/>
        </w:rPr>
        <w:t>投料口</w:t>
      </w:r>
      <w:proofErr w:type="gramEnd"/>
      <w:r w:rsidRPr="00B85FA7">
        <w:rPr>
          <w:rFonts w:hint="eastAsia"/>
        </w:rPr>
        <w:t>等。</w:t>
      </w:r>
    </w:p>
    <w:p w:rsidR="006765A6" w:rsidRPr="00B85FA7" w:rsidRDefault="006765A6" w:rsidP="00D948CE">
      <w:pPr>
        <w:ind w:firstLineChars="0" w:firstLine="0"/>
        <w:jc w:val="center"/>
      </w:pPr>
      <w:r w:rsidRPr="00B85FA7">
        <w:rPr>
          <w:rFonts w:hint="eastAsia"/>
          <w:noProof/>
        </w:rPr>
        <w:drawing>
          <wp:inline distT="0" distB="0" distL="0" distR="0">
            <wp:extent cx="4945076" cy="2383790"/>
            <wp:effectExtent l="0" t="0" r="8255"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综合管廊断面图0611-全-去教育版-Model.jpg"/>
                    <pic:cNvPicPr/>
                  </pic:nvPicPr>
                  <pic:blipFill rotWithShape="1">
                    <a:blip r:embed="rId67" cstate="print">
                      <a:extLst>
                        <a:ext uri="{28A0092B-C50C-407E-A947-70E740481C1C}">
                          <a14:useLocalDpi xmlns:a14="http://schemas.microsoft.com/office/drawing/2010/main" val="0"/>
                        </a:ext>
                      </a:extLst>
                    </a:blip>
                    <a:srcRect l="3207" t="15969" r="2492" b="19745"/>
                    <a:stretch/>
                  </pic:blipFill>
                  <pic:spPr bwMode="auto">
                    <a:xfrm>
                      <a:off x="0" y="0"/>
                      <a:ext cx="4947933" cy="2385167"/>
                    </a:xfrm>
                    <a:prstGeom prst="rect">
                      <a:avLst/>
                    </a:prstGeom>
                    <a:ln>
                      <a:noFill/>
                    </a:ln>
                    <a:extLst>
                      <a:ext uri="{53640926-AAD7-44D8-BBD7-CCE9431645EC}">
                        <a14:shadowObscured xmlns:a14="http://schemas.microsoft.com/office/drawing/2010/main"/>
                      </a:ext>
                    </a:extLst>
                  </pic:spPr>
                </pic:pic>
              </a:graphicData>
            </a:graphic>
          </wp:inline>
        </w:drawing>
      </w:r>
    </w:p>
    <w:p w:rsidR="00D948CE" w:rsidRPr="00B85FA7" w:rsidRDefault="00D948CE" w:rsidP="00D948CE">
      <w:pPr>
        <w:pStyle w:val="a"/>
      </w:pPr>
      <w:r w:rsidRPr="00B85FA7">
        <w:rPr>
          <w:rFonts w:hint="eastAsia"/>
        </w:rPr>
        <w:t>与轨道</w:t>
      </w:r>
      <w:r w:rsidRPr="00B85FA7">
        <w:t>线路</w:t>
      </w:r>
      <w:r w:rsidRPr="00B85FA7">
        <w:rPr>
          <w:rFonts w:hint="eastAsia"/>
        </w:rPr>
        <w:t>区间并行的综合管廊</w:t>
      </w:r>
    </w:p>
    <w:p w:rsidR="002C72DC" w:rsidRPr="00B85FA7" w:rsidRDefault="00D948CE" w:rsidP="00A06D49">
      <w:pPr>
        <w:pStyle w:val="4"/>
      </w:pPr>
      <w:r w:rsidRPr="00B85FA7">
        <w:rPr>
          <w:rFonts w:hint="eastAsia"/>
        </w:rPr>
        <w:t>轨道站点并行段的综合管廊，宜布置在轨道一侧，非机动车道下。如综合管廊与轨道同步建设，可考虑利用出入口通道上方，但应避让风道及地下开</w:t>
      </w:r>
      <w:r w:rsidRPr="00B85FA7">
        <w:rPr>
          <w:rFonts w:hint="eastAsia"/>
        </w:rPr>
        <w:lastRenderedPageBreak/>
        <w:t>发</w:t>
      </w:r>
      <w:r w:rsidR="00FF130F" w:rsidRPr="00B85FA7">
        <w:rPr>
          <w:rFonts w:hint="eastAsia"/>
        </w:rPr>
        <w:t>；</w:t>
      </w:r>
      <w:r w:rsidRPr="00B85FA7">
        <w:rPr>
          <w:rFonts w:hint="eastAsia"/>
        </w:rPr>
        <w:t>如综合管廊与轨道无法同步建设，综合管廊可布置在出入口通道下方，轨道结构设计应在相应位置做好结构加固或预留。</w:t>
      </w:r>
    </w:p>
    <w:p w:rsidR="00EB55C4" w:rsidRPr="00B85FA7" w:rsidRDefault="00EB55C4" w:rsidP="00DF12DF">
      <w:pPr>
        <w:widowControl w:val="0"/>
        <w:ind w:firstLineChars="0" w:firstLine="0"/>
        <w:jc w:val="center"/>
      </w:pPr>
      <w:r w:rsidRPr="00B85FA7">
        <w:rPr>
          <w:rFonts w:hint="eastAsia"/>
          <w:noProof/>
        </w:rPr>
        <w:drawing>
          <wp:inline distT="0" distB="0" distL="0" distR="0">
            <wp:extent cx="5143803" cy="200025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综合管廊断面图0708-全-去教育版-Model11.jpg"/>
                    <pic:cNvPicPr/>
                  </pic:nvPicPr>
                  <pic:blipFill rotWithShape="1">
                    <a:blip r:embed="rId68" cstate="print">
                      <a:extLst>
                        <a:ext uri="{28A0092B-C50C-407E-A947-70E740481C1C}">
                          <a14:useLocalDpi xmlns:a14="http://schemas.microsoft.com/office/drawing/2010/main" val="0"/>
                        </a:ext>
                      </a:extLst>
                    </a:blip>
                    <a:srcRect l="1300" t="15229" r="604" b="12660"/>
                    <a:stretch/>
                  </pic:blipFill>
                  <pic:spPr bwMode="auto">
                    <a:xfrm>
                      <a:off x="0" y="0"/>
                      <a:ext cx="5147048" cy="2001512"/>
                    </a:xfrm>
                    <a:prstGeom prst="rect">
                      <a:avLst/>
                    </a:prstGeom>
                    <a:ln>
                      <a:noFill/>
                    </a:ln>
                    <a:extLst>
                      <a:ext uri="{53640926-AAD7-44D8-BBD7-CCE9431645EC}">
                        <a14:shadowObscured xmlns:a14="http://schemas.microsoft.com/office/drawing/2010/main"/>
                      </a:ext>
                    </a:extLst>
                  </pic:spPr>
                </pic:pic>
              </a:graphicData>
            </a:graphic>
          </wp:inline>
        </w:drawing>
      </w:r>
    </w:p>
    <w:p w:rsidR="00D948CE" w:rsidRPr="00B85FA7" w:rsidRDefault="00D948CE" w:rsidP="00DF12DF">
      <w:pPr>
        <w:pStyle w:val="a"/>
        <w:widowControl w:val="0"/>
      </w:pPr>
      <w:r w:rsidRPr="00B85FA7">
        <w:rPr>
          <w:rFonts w:hint="eastAsia"/>
        </w:rPr>
        <w:t>综合管廊与轨道同步建设位置关系图</w:t>
      </w:r>
    </w:p>
    <w:p w:rsidR="00EB55C4" w:rsidRPr="00B85FA7" w:rsidRDefault="00EB55C4" w:rsidP="00F6242E">
      <w:pPr>
        <w:ind w:firstLineChars="0" w:firstLine="0"/>
        <w:jc w:val="center"/>
      </w:pPr>
      <w:r w:rsidRPr="00B85FA7">
        <w:rPr>
          <w:rFonts w:hint="eastAsia"/>
          <w:noProof/>
        </w:rPr>
        <w:drawing>
          <wp:inline distT="0" distB="0" distL="0" distR="0">
            <wp:extent cx="5102915" cy="1991995"/>
            <wp:effectExtent l="0" t="0" r="2540" b="825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综合管廊断面图0708-全-去教育版-Model2.jpg"/>
                    <pic:cNvPicPr/>
                  </pic:nvPicPr>
                  <pic:blipFill rotWithShape="1">
                    <a:blip r:embed="rId69" cstate="print">
                      <a:extLst>
                        <a:ext uri="{28A0092B-C50C-407E-A947-70E740481C1C}">
                          <a14:useLocalDpi xmlns:a14="http://schemas.microsoft.com/office/drawing/2010/main" val="0"/>
                        </a:ext>
                      </a:extLst>
                    </a:blip>
                    <a:srcRect l="1561" t="15228" r="1141" b="12971"/>
                    <a:stretch/>
                  </pic:blipFill>
                  <pic:spPr bwMode="auto">
                    <a:xfrm>
                      <a:off x="0" y="0"/>
                      <a:ext cx="5105195" cy="1992885"/>
                    </a:xfrm>
                    <a:prstGeom prst="rect">
                      <a:avLst/>
                    </a:prstGeom>
                    <a:ln>
                      <a:noFill/>
                    </a:ln>
                    <a:extLst>
                      <a:ext uri="{53640926-AAD7-44D8-BBD7-CCE9431645EC}">
                        <a14:shadowObscured xmlns:a14="http://schemas.microsoft.com/office/drawing/2010/main"/>
                      </a:ext>
                    </a:extLst>
                  </pic:spPr>
                </pic:pic>
              </a:graphicData>
            </a:graphic>
          </wp:inline>
        </w:drawing>
      </w:r>
    </w:p>
    <w:p w:rsidR="00D948CE" w:rsidRPr="00B85FA7" w:rsidRDefault="00D948CE" w:rsidP="00DF12DF">
      <w:pPr>
        <w:pStyle w:val="a"/>
        <w:widowControl w:val="0"/>
      </w:pPr>
      <w:r w:rsidRPr="00B85FA7">
        <w:rPr>
          <w:rFonts w:hint="eastAsia"/>
        </w:rPr>
        <w:t>综合管廊与轨道非同步建设位置关系图</w:t>
      </w:r>
    </w:p>
    <w:p w:rsidR="002C72DC" w:rsidRPr="00B85FA7" w:rsidRDefault="00400355" w:rsidP="00A7161A">
      <w:pPr>
        <w:pStyle w:val="31"/>
      </w:pPr>
      <w:r w:rsidRPr="00B85FA7">
        <w:rPr>
          <w:rFonts w:hint="eastAsia"/>
        </w:rPr>
        <w:t>重力流管线无法避让轨道线路，且高程与站点出入口及开发空间冲突时，重力流可绕行站点出入口及风亭，绕行用地作为综合用地提前进行规划控制，同时，考虑站点一侧作为管线集中区域，将风亭及地下空间开发集中在另一侧。</w:t>
      </w:r>
    </w:p>
    <w:p w:rsidR="00EB55C4" w:rsidRPr="00B85FA7" w:rsidRDefault="00EB55C4" w:rsidP="00F6242E">
      <w:pPr>
        <w:ind w:firstLineChars="0" w:firstLine="0"/>
        <w:jc w:val="center"/>
      </w:pPr>
      <w:r w:rsidRPr="00B85FA7">
        <w:rPr>
          <w:rFonts w:hint="eastAsia"/>
          <w:noProof/>
        </w:rPr>
        <w:lastRenderedPageBreak/>
        <w:drawing>
          <wp:inline distT="0" distB="0" distL="0" distR="0">
            <wp:extent cx="5037827" cy="2017859"/>
            <wp:effectExtent l="0" t="0" r="0" b="190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重力流管线.jpg"/>
                    <pic:cNvPicPr/>
                  </pic:nvPicPr>
                  <pic:blipFill rotWithShape="1">
                    <a:blip r:embed="rId70" cstate="print">
                      <a:extLst>
                        <a:ext uri="{28A0092B-C50C-407E-A947-70E740481C1C}">
                          <a14:useLocalDpi xmlns:a14="http://schemas.microsoft.com/office/drawing/2010/main" val="0"/>
                        </a:ext>
                      </a:extLst>
                    </a:blip>
                    <a:srcRect l="1974" t="5466" r="1955" b="3165"/>
                    <a:stretch/>
                  </pic:blipFill>
                  <pic:spPr bwMode="auto">
                    <a:xfrm>
                      <a:off x="0" y="0"/>
                      <a:ext cx="5040874" cy="2019079"/>
                    </a:xfrm>
                    <a:prstGeom prst="rect">
                      <a:avLst/>
                    </a:prstGeom>
                    <a:ln>
                      <a:noFill/>
                    </a:ln>
                    <a:extLst>
                      <a:ext uri="{53640926-AAD7-44D8-BBD7-CCE9431645EC}">
                        <a14:shadowObscured xmlns:a14="http://schemas.microsoft.com/office/drawing/2010/main"/>
                      </a:ext>
                    </a:extLst>
                  </pic:spPr>
                </pic:pic>
              </a:graphicData>
            </a:graphic>
          </wp:inline>
        </w:drawing>
      </w:r>
    </w:p>
    <w:p w:rsidR="00400355" w:rsidRPr="00B85FA7" w:rsidRDefault="00400355" w:rsidP="00400355">
      <w:pPr>
        <w:pStyle w:val="a"/>
      </w:pPr>
      <w:r w:rsidRPr="00B85FA7">
        <w:rPr>
          <w:rFonts w:hint="eastAsia"/>
        </w:rPr>
        <w:t>重力流管线与轨道站点位置关系图</w:t>
      </w:r>
    </w:p>
    <w:p w:rsidR="002C72DC" w:rsidRPr="00B85FA7" w:rsidRDefault="00400355" w:rsidP="00400355">
      <w:pPr>
        <w:pStyle w:val="31"/>
      </w:pPr>
      <w:r w:rsidRPr="00B85FA7">
        <w:rPr>
          <w:rFonts w:hint="eastAsia"/>
        </w:rPr>
        <w:t>非重点开发站点，站点主体上方（含站位两侧</w:t>
      </w:r>
      <w:r w:rsidRPr="00B85FA7">
        <w:rPr>
          <w:rFonts w:hint="eastAsia"/>
        </w:rPr>
        <w:t>5 m</w:t>
      </w:r>
      <w:r w:rsidRPr="00B85FA7">
        <w:rPr>
          <w:rFonts w:hint="eastAsia"/>
        </w:rPr>
        <w:t>）范围内，不宜规划埋深大于</w:t>
      </w:r>
      <w:r w:rsidRPr="00B85FA7">
        <w:rPr>
          <w:rFonts w:hint="eastAsia"/>
        </w:rPr>
        <w:t>3 m</w:t>
      </w:r>
      <w:r w:rsidRPr="00B85FA7">
        <w:rPr>
          <w:rFonts w:hint="eastAsia"/>
        </w:rPr>
        <w:t>的管线。站点主体与出入口（风亭）间不宜规划埋深大于</w:t>
      </w:r>
      <w:r w:rsidRPr="00B85FA7">
        <w:rPr>
          <w:rFonts w:hint="eastAsia"/>
        </w:rPr>
        <w:t>4.5 m</w:t>
      </w:r>
      <w:r w:rsidRPr="00B85FA7">
        <w:rPr>
          <w:rFonts w:hint="eastAsia"/>
        </w:rPr>
        <w:t>的管线。</w:t>
      </w:r>
    </w:p>
    <w:p w:rsidR="00400355" w:rsidRPr="00B85FA7" w:rsidRDefault="00400355" w:rsidP="00400355">
      <w:pPr>
        <w:ind w:firstLineChars="0" w:firstLine="0"/>
        <w:jc w:val="center"/>
      </w:pPr>
      <w:r w:rsidRPr="00B85FA7">
        <w:rPr>
          <w:rFonts w:hint="eastAsia"/>
          <w:noProof/>
        </w:rPr>
        <w:drawing>
          <wp:inline distT="0" distB="0" distL="0" distR="0">
            <wp:extent cx="4585648" cy="2189924"/>
            <wp:effectExtent l="0" t="0" r="5715" b="12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王志刚地下空间.jpg"/>
                    <pic:cNvPicPr/>
                  </pic:nvPicPr>
                  <pic:blipFill rotWithShape="1">
                    <a:blip r:embed="rId71">
                      <a:extLst>
                        <a:ext uri="{28A0092B-C50C-407E-A947-70E740481C1C}">
                          <a14:useLocalDpi xmlns:a14="http://schemas.microsoft.com/office/drawing/2010/main" val="0"/>
                        </a:ext>
                      </a:extLst>
                    </a:blip>
                    <a:srcRect l="870" t="3963" r="1720" b="5163"/>
                    <a:stretch/>
                  </pic:blipFill>
                  <pic:spPr bwMode="auto">
                    <a:xfrm>
                      <a:off x="0" y="0"/>
                      <a:ext cx="4587212" cy="2190671"/>
                    </a:xfrm>
                    <a:prstGeom prst="rect">
                      <a:avLst/>
                    </a:prstGeom>
                    <a:ln>
                      <a:noFill/>
                    </a:ln>
                    <a:extLst>
                      <a:ext uri="{53640926-AAD7-44D8-BBD7-CCE9431645EC}">
                        <a14:shadowObscured xmlns:a14="http://schemas.microsoft.com/office/drawing/2010/main"/>
                      </a:ext>
                    </a:extLst>
                  </pic:spPr>
                </pic:pic>
              </a:graphicData>
            </a:graphic>
          </wp:inline>
        </w:drawing>
      </w:r>
    </w:p>
    <w:p w:rsidR="00400355" w:rsidRPr="00B85FA7" w:rsidRDefault="00400355" w:rsidP="00400355">
      <w:pPr>
        <w:pStyle w:val="a"/>
      </w:pPr>
      <w:r w:rsidRPr="00B85FA7">
        <w:rPr>
          <w:rFonts w:hint="eastAsia"/>
        </w:rPr>
        <w:t>市政管线与站点剖面管线图</w:t>
      </w:r>
    </w:p>
    <w:p w:rsidR="00A06D49" w:rsidRPr="00B85FA7" w:rsidRDefault="00A06D49">
      <w:pPr>
        <w:spacing w:before="0" w:after="0" w:line="240" w:lineRule="auto"/>
        <w:ind w:firstLineChars="0" w:firstLine="0"/>
        <w:rPr>
          <w:rFonts w:cs="Times New Roman"/>
          <w:kern w:val="0"/>
          <w:szCs w:val="24"/>
        </w:rPr>
      </w:pPr>
      <w:r w:rsidRPr="00B85FA7">
        <w:rPr>
          <w:rFonts w:cs="Times New Roman"/>
          <w:b/>
          <w:kern w:val="0"/>
        </w:rPr>
        <w:br w:type="page"/>
      </w:r>
    </w:p>
    <w:p w:rsidR="002C72DC" w:rsidRPr="00B85FA7" w:rsidRDefault="008411D0">
      <w:pPr>
        <w:pStyle w:val="1"/>
      </w:pPr>
      <w:bookmarkStart w:id="90" w:name="_Toc407709895"/>
      <w:bookmarkStart w:id="91" w:name="_Toc398105669"/>
      <w:bookmarkStart w:id="92" w:name="_Toc435545803"/>
      <w:bookmarkEnd w:id="77"/>
      <w:bookmarkEnd w:id="90"/>
      <w:r w:rsidRPr="00B85FA7">
        <w:rPr>
          <w:rFonts w:hint="eastAsia"/>
        </w:rPr>
        <w:lastRenderedPageBreak/>
        <w:t>实施机制</w:t>
      </w:r>
      <w:bookmarkEnd w:id="91"/>
      <w:bookmarkEnd w:id="92"/>
    </w:p>
    <w:p w:rsidR="002C72DC" w:rsidRPr="00B85FA7" w:rsidRDefault="008411D0">
      <w:pPr>
        <w:pStyle w:val="2"/>
      </w:pPr>
      <w:bookmarkStart w:id="93" w:name="_Toc398105670"/>
      <w:bookmarkStart w:id="94" w:name="_Toc435545804"/>
      <w:r w:rsidRPr="00B85FA7">
        <w:rPr>
          <w:rFonts w:hint="eastAsia"/>
        </w:rPr>
        <w:t>规划编制流程建议</w:t>
      </w:r>
      <w:bookmarkEnd w:id="93"/>
      <w:bookmarkEnd w:id="94"/>
    </w:p>
    <w:p w:rsidR="002C72DC" w:rsidRPr="00B85FA7" w:rsidRDefault="008411D0">
      <w:pPr>
        <w:pStyle w:val="31"/>
      </w:pPr>
      <w:r w:rsidRPr="00B85FA7">
        <w:rPr>
          <w:rFonts w:hint="eastAsia"/>
        </w:rPr>
        <w:t>各城市在编制城市总体规划时，应结合城市轨道交通线网规划，对城市结构、功能布局、建设强度控制等进行研究和校核，研究和校核内容及深度应参照本导则第</w:t>
      </w:r>
      <w:r w:rsidRPr="00B85FA7">
        <w:t>5</w:t>
      </w:r>
      <w:r w:rsidRPr="00B85FA7">
        <w:rPr>
          <w:rFonts w:hint="eastAsia"/>
        </w:rPr>
        <w:t>章——城市层面规划引导，并形成《轨道交通引导城市发展专题研究》；其中各项城市规划内容，应纳入城市总体规划成果之中。没有编制轨道交通线网规划的，建议与总体规划同期开展轨道交通线网规划的编制工作。在单独编制轨道交通线网规划的情况下，应同期编制《轨道交通引导城市发展专题研究》。</w:t>
      </w:r>
    </w:p>
    <w:p w:rsidR="002C72DC" w:rsidRPr="00B85FA7" w:rsidRDefault="008411D0">
      <w:pPr>
        <w:pStyle w:val="31"/>
      </w:pPr>
      <w:r w:rsidRPr="00B85FA7">
        <w:rPr>
          <w:rFonts w:hint="eastAsia"/>
        </w:rPr>
        <w:t>在《轨道交通近期建设规划》编制阶段，应以《轨道交通引导城市发展专题研究》为依据，同期开展《轨道沿线用地调整规划》，其规划深度应参照本导则第</w:t>
      </w:r>
      <w:r w:rsidRPr="00B85FA7">
        <w:t>6</w:t>
      </w:r>
      <w:r w:rsidRPr="00B85FA7">
        <w:rPr>
          <w:rFonts w:hint="eastAsia"/>
        </w:rPr>
        <w:t>章——线路层面规划引导，成果应纳入相关控制性详细规划的编制或修编中予以落实。</w:t>
      </w:r>
    </w:p>
    <w:p w:rsidR="002C72DC" w:rsidRPr="00B85FA7" w:rsidRDefault="008411D0">
      <w:pPr>
        <w:pStyle w:val="31"/>
      </w:pPr>
      <w:r w:rsidRPr="00B85FA7">
        <w:rPr>
          <w:rFonts w:hint="eastAsia"/>
        </w:rPr>
        <w:t>在《轨道交通工程可行性研究》编制阶段，应以《轨道沿线用地调整规划》为依据，同期编制沿线各站的《轨道站点一体化规划设计》，其规划深度应参照本导则第</w:t>
      </w:r>
      <w:r w:rsidRPr="00B85FA7">
        <w:t>7</w:t>
      </w:r>
      <w:r w:rsidRPr="00B85FA7">
        <w:rPr>
          <w:rFonts w:hint="eastAsia"/>
        </w:rPr>
        <w:t>章——站点层面规划</w:t>
      </w:r>
      <w:r w:rsidR="009A52F1" w:rsidRPr="00B85FA7">
        <w:rPr>
          <w:rFonts w:hint="eastAsia"/>
        </w:rPr>
        <w:t>设计</w:t>
      </w:r>
      <w:r w:rsidRPr="00B85FA7">
        <w:rPr>
          <w:rFonts w:hint="eastAsia"/>
        </w:rPr>
        <w:t>引导。主要明确轨道与周边物业发展、交通换乘空间及城市空间的立体对接关系，为相关地区用地开发提供详细的规划控制条件，为相关修建性详细规划的编制提供引导。</w:t>
      </w:r>
    </w:p>
    <w:p w:rsidR="002C72DC" w:rsidRPr="00B85FA7" w:rsidRDefault="008411D0">
      <w:pPr>
        <w:pStyle w:val="31"/>
      </w:pPr>
      <w:r w:rsidRPr="00B85FA7">
        <w:rPr>
          <w:rFonts w:hint="eastAsia"/>
        </w:rPr>
        <w:t>《轨道交通引导城市发展专题研究》、《轨道沿线用地调整规划》、《轨道站点一体化规划设计》为层层递进关系，在下一层次规划编制时，应对上一层次的规划编制成果进行评价与反馈，如上一层次规划缺失，应当结合现状情况，进行补充编制。</w:t>
      </w:r>
    </w:p>
    <w:p w:rsidR="002C72DC" w:rsidRPr="00B85FA7" w:rsidRDefault="008411D0">
      <w:pPr>
        <w:pStyle w:val="2"/>
      </w:pPr>
      <w:bookmarkStart w:id="95" w:name="_Toc398105671"/>
      <w:bookmarkStart w:id="96" w:name="_Toc435545805"/>
      <w:r w:rsidRPr="00B85FA7">
        <w:rPr>
          <w:rFonts w:hint="eastAsia"/>
        </w:rPr>
        <w:t>规划管理流程建议</w:t>
      </w:r>
      <w:bookmarkEnd w:id="95"/>
      <w:bookmarkEnd w:id="96"/>
    </w:p>
    <w:p w:rsidR="002C72DC" w:rsidRPr="00B85FA7" w:rsidRDefault="008411D0">
      <w:pPr>
        <w:pStyle w:val="31"/>
      </w:pPr>
      <w:r w:rsidRPr="00B85FA7">
        <w:rPr>
          <w:rFonts w:hint="eastAsia"/>
        </w:rPr>
        <w:t>在城市实施总体规划的过程中，各类功能与布局调整，如各类新区规划、城市交通枢纽规划、大型高强度开发项目选址等，均应与轨道交通线网规划进行校核，并由城市规划主管部门组织，对《轨道交通引导城市发展专题研究》进行调整和修编，确实需要的，应启动对轨道交通线网规划的编制调整。</w:t>
      </w:r>
    </w:p>
    <w:p w:rsidR="002C72DC" w:rsidRPr="00B85FA7" w:rsidRDefault="008411D0">
      <w:pPr>
        <w:pStyle w:val="31"/>
      </w:pPr>
      <w:r w:rsidRPr="00B85FA7">
        <w:rPr>
          <w:rFonts w:hint="eastAsia"/>
        </w:rPr>
        <w:t>建议在轨道交通近期建设规划方案及成果评审的各个环节，聘请城市规划</w:t>
      </w:r>
      <w:r w:rsidRPr="00B85FA7">
        <w:rPr>
          <w:rFonts w:hint="eastAsia"/>
        </w:rPr>
        <w:lastRenderedPageBreak/>
        <w:t>专家以本《导则》第</w:t>
      </w:r>
      <w:r w:rsidRPr="00B85FA7">
        <w:rPr>
          <w:rFonts w:hint="eastAsia"/>
        </w:rPr>
        <w:t>6</w:t>
      </w:r>
      <w:r w:rsidRPr="00B85FA7">
        <w:rPr>
          <w:rFonts w:hint="eastAsia"/>
        </w:rPr>
        <w:t>章的成果要求为依据，对《轨道沿线用地调整规划》进行专项验收。</w:t>
      </w:r>
    </w:p>
    <w:p w:rsidR="002C72DC" w:rsidRPr="00B85FA7" w:rsidRDefault="008411D0">
      <w:pPr>
        <w:pStyle w:val="31"/>
        <w:sectPr w:rsidR="002C72DC" w:rsidRPr="00B85FA7">
          <w:footerReference w:type="default" r:id="rId72"/>
          <w:pgSz w:w="11906" w:h="16838"/>
          <w:pgMar w:top="1440" w:right="1800" w:bottom="1440" w:left="1843" w:header="851" w:footer="992" w:gutter="0"/>
          <w:pgNumType w:start="1"/>
          <w:cols w:space="720"/>
          <w:docGrid w:type="lines" w:linePitch="312"/>
        </w:sectPr>
      </w:pPr>
      <w:r w:rsidRPr="00B85FA7">
        <w:rPr>
          <w:rFonts w:hint="eastAsia"/>
        </w:rPr>
        <w:t>建议各城市在编制《轨道交通工程可行性研究》时，将《轨道站点一体化规划设计》作为送审附件，聘请城市规划专家以本《导则》第</w:t>
      </w:r>
      <w:r w:rsidRPr="00B85FA7">
        <w:rPr>
          <w:rFonts w:hint="eastAsia"/>
        </w:rPr>
        <w:t>7</w:t>
      </w:r>
      <w:r w:rsidRPr="00B85FA7">
        <w:rPr>
          <w:rFonts w:hint="eastAsia"/>
        </w:rPr>
        <w:t>章的成果要求为依据，对《轨道站点一体化规划设计》进行专项验收。</w:t>
      </w:r>
    </w:p>
    <w:p w:rsidR="002C72DC" w:rsidRPr="00B85FA7" w:rsidRDefault="008411D0">
      <w:pPr>
        <w:pStyle w:val="1"/>
        <w:numPr>
          <w:ilvl w:val="0"/>
          <w:numId w:val="0"/>
        </w:numPr>
        <w:rPr>
          <w:bCs/>
          <w:kern w:val="44"/>
        </w:rPr>
      </w:pPr>
      <w:bookmarkStart w:id="97" w:name="_Toc398105672"/>
      <w:bookmarkStart w:id="98" w:name="_Toc435545806"/>
      <w:r w:rsidRPr="00B85FA7">
        <w:rPr>
          <w:rFonts w:hint="eastAsia"/>
          <w:bCs/>
          <w:kern w:val="44"/>
        </w:rPr>
        <w:lastRenderedPageBreak/>
        <w:t>附</w:t>
      </w:r>
      <w:bookmarkEnd w:id="97"/>
      <w:r w:rsidRPr="00B85FA7">
        <w:rPr>
          <w:rFonts w:hint="eastAsia"/>
          <w:bCs/>
          <w:kern w:val="44"/>
        </w:rPr>
        <w:t>录</w:t>
      </w:r>
      <w:r w:rsidRPr="00B85FA7">
        <w:rPr>
          <w:rFonts w:hint="eastAsia"/>
          <w:bCs/>
          <w:kern w:val="44"/>
        </w:rPr>
        <w:t xml:space="preserve">1 </w:t>
      </w:r>
      <w:r w:rsidRPr="00B85FA7">
        <w:rPr>
          <w:rFonts w:hint="eastAsia"/>
        </w:rPr>
        <w:t>城市层面规划编制引导</w:t>
      </w:r>
      <w:bookmarkEnd w:id="98"/>
    </w:p>
    <w:p w:rsidR="002C72DC" w:rsidRPr="00B85FA7" w:rsidRDefault="008411D0">
      <w:pPr>
        <w:pStyle w:val="31"/>
        <w:numPr>
          <w:ilvl w:val="2"/>
          <w:numId w:val="0"/>
        </w:numPr>
        <w:jc w:val="center"/>
        <w:rPr>
          <w:b/>
        </w:rPr>
      </w:pPr>
      <w:bookmarkStart w:id="99" w:name="_Toc398105673"/>
      <w:r w:rsidRPr="00B85FA7">
        <w:rPr>
          <w:rFonts w:hint="eastAsia"/>
          <w:b/>
        </w:rPr>
        <w:t>第一部分《轨道交通引导城市发展专题研究》基础资料收集清单</w:t>
      </w:r>
    </w:p>
    <w:p w:rsidR="002C72DC" w:rsidRPr="00B85FA7" w:rsidRDefault="008411D0"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省、地（市）人民政府制定的国民经济和社会发展五年规划、城市国民经济和社会发展五年规划。</w:t>
      </w:r>
    </w:p>
    <w:p w:rsidR="002C72DC" w:rsidRPr="00B85FA7" w:rsidRDefault="008411D0"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土地利用总体规划。</w:t>
      </w:r>
    </w:p>
    <w:p w:rsidR="00EC5229" w:rsidRPr="00B85FA7" w:rsidRDefault="00F6667D" w:rsidP="00E174E9">
      <w:pPr>
        <w:pStyle w:val="15"/>
        <w:numPr>
          <w:ilvl w:val="0"/>
          <w:numId w:val="4"/>
        </w:numPr>
        <w:spacing w:line="360" w:lineRule="auto"/>
        <w:ind w:firstLineChars="0"/>
        <w:rPr>
          <w:rFonts w:cs="Times New Roman"/>
          <w:b w:val="0"/>
          <w:kern w:val="0"/>
        </w:rPr>
      </w:pPr>
      <w:proofErr w:type="gramStart"/>
      <w:r w:rsidRPr="00B85FA7">
        <w:rPr>
          <w:rFonts w:cs="Times New Roman" w:hint="eastAsia"/>
          <w:b w:val="0"/>
          <w:kern w:val="0"/>
        </w:rPr>
        <w:t>历版城市总体规划</w:t>
      </w:r>
      <w:proofErr w:type="gramEnd"/>
      <w:r w:rsidRPr="00B85FA7">
        <w:rPr>
          <w:rFonts w:cs="Times New Roman" w:hint="eastAsia"/>
          <w:b w:val="0"/>
          <w:kern w:val="0"/>
        </w:rPr>
        <w:t>（含在编）</w:t>
      </w:r>
      <w:r w:rsidR="00EC5229" w:rsidRPr="00B85FA7">
        <w:rPr>
          <w:rFonts w:cs="Times New Roman" w:hint="eastAsia"/>
          <w:b w:val="0"/>
          <w:kern w:val="0"/>
        </w:rPr>
        <w:t>、城市分区规划</w:t>
      </w:r>
      <w:r w:rsidR="00533046" w:rsidRPr="00B85FA7">
        <w:rPr>
          <w:rFonts w:cs="Times New Roman" w:hint="eastAsia"/>
          <w:b w:val="0"/>
          <w:kern w:val="0"/>
        </w:rPr>
        <w:t>（含</w:t>
      </w:r>
      <w:r w:rsidR="00533046" w:rsidRPr="00B85FA7">
        <w:rPr>
          <w:rFonts w:cs="Times New Roman"/>
          <w:b w:val="0"/>
          <w:kern w:val="0"/>
        </w:rPr>
        <w:t>在编）</w:t>
      </w:r>
      <w:r w:rsidR="00EC5229" w:rsidRPr="00B85FA7">
        <w:rPr>
          <w:rFonts w:cs="Times New Roman" w:hint="eastAsia"/>
          <w:b w:val="0"/>
          <w:kern w:val="0"/>
        </w:rPr>
        <w:t>。</w:t>
      </w:r>
    </w:p>
    <w:p w:rsidR="002C72DC" w:rsidRPr="00B85FA7" w:rsidRDefault="00F6667D" w:rsidP="00E174E9">
      <w:pPr>
        <w:pStyle w:val="15"/>
        <w:numPr>
          <w:ilvl w:val="0"/>
          <w:numId w:val="4"/>
        </w:numPr>
        <w:spacing w:line="360" w:lineRule="auto"/>
        <w:ind w:firstLineChars="0"/>
        <w:rPr>
          <w:rFonts w:cs="Times New Roman"/>
          <w:b w:val="0"/>
          <w:kern w:val="0"/>
        </w:rPr>
      </w:pPr>
      <w:proofErr w:type="gramStart"/>
      <w:r w:rsidRPr="00B85FA7">
        <w:rPr>
          <w:rFonts w:cs="Times New Roman" w:hint="eastAsia"/>
          <w:b w:val="0"/>
          <w:kern w:val="0"/>
        </w:rPr>
        <w:t>历版</w:t>
      </w:r>
      <w:r w:rsidR="008411D0" w:rsidRPr="00B85FA7">
        <w:rPr>
          <w:rFonts w:cs="Times New Roman" w:hint="eastAsia"/>
          <w:b w:val="0"/>
          <w:kern w:val="0"/>
        </w:rPr>
        <w:t>轨道</w:t>
      </w:r>
      <w:proofErr w:type="gramEnd"/>
      <w:r w:rsidR="008411D0" w:rsidRPr="00B85FA7">
        <w:rPr>
          <w:rFonts w:cs="Times New Roman" w:hint="eastAsia"/>
          <w:b w:val="0"/>
          <w:kern w:val="0"/>
        </w:rPr>
        <w:t>交通线网规划</w:t>
      </w:r>
      <w:r w:rsidRPr="00B85FA7">
        <w:rPr>
          <w:rFonts w:cs="Times New Roman" w:hint="eastAsia"/>
          <w:b w:val="0"/>
          <w:kern w:val="0"/>
        </w:rPr>
        <w:t>（含在编）</w:t>
      </w:r>
      <w:r w:rsidR="008411D0" w:rsidRPr="00B85FA7">
        <w:rPr>
          <w:rFonts w:cs="Times New Roman" w:hint="eastAsia"/>
          <w:b w:val="0"/>
          <w:kern w:val="0"/>
        </w:rPr>
        <w:t>。</w:t>
      </w:r>
    </w:p>
    <w:p w:rsidR="002C72DC" w:rsidRPr="00B85FA7" w:rsidRDefault="008411D0"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城市综合交通</w:t>
      </w:r>
      <w:r w:rsidR="00F6667D" w:rsidRPr="00B85FA7">
        <w:rPr>
          <w:rFonts w:cs="Times New Roman" w:hint="eastAsia"/>
          <w:b w:val="0"/>
          <w:kern w:val="0"/>
        </w:rPr>
        <w:t>体系</w:t>
      </w:r>
      <w:r w:rsidRPr="00B85FA7">
        <w:rPr>
          <w:rFonts w:cs="Times New Roman" w:hint="eastAsia"/>
          <w:b w:val="0"/>
          <w:kern w:val="0"/>
        </w:rPr>
        <w:t>规划及交通专项规划。</w:t>
      </w:r>
    </w:p>
    <w:p w:rsidR="002C72DC" w:rsidRPr="00B85FA7" w:rsidRDefault="008411D0"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地形图（</w:t>
      </w:r>
      <w:r w:rsidRPr="00B85FA7">
        <w:rPr>
          <w:rFonts w:cs="Times New Roman" w:hint="eastAsia"/>
          <w:b w:val="0"/>
          <w:kern w:val="0"/>
        </w:rPr>
        <w:t>1:10000~1:500000</w:t>
      </w:r>
      <w:r w:rsidRPr="00B85FA7">
        <w:rPr>
          <w:rFonts w:cs="Times New Roman" w:hint="eastAsia"/>
          <w:b w:val="0"/>
          <w:kern w:val="0"/>
        </w:rPr>
        <w:t>）、相关航片图、卫星遥感图和地形地貌、河流水系、植被等自然条件资料和生态环境资料，特别是地质灾害分布及影响范围、危害程度等资料。</w:t>
      </w:r>
    </w:p>
    <w:p w:rsidR="002C72DC" w:rsidRPr="00B85FA7" w:rsidRDefault="00EC5229"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城市行政区划，</w:t>
      </w:r>
      <w:r w:rsidR="008411D0" w:rsidRPr="00B85FA7">
        <w:rPr>
          <w:rFonts w:cs="Times New Roman" w:hint="eastAsia"/>
          <w:b w:val="0"/>
          <w:kern w:val="0"/>
        </w:rPr>
        <w:t>城镇发展历史演变资料及中心城区主要发展阶段的城市人口规模、用地规模、用地范围与用地结构。</w:t>
      </w:r>
    </w:p>
    <w:p w:rsidR="002C72DC" w:rsidRPr="00B85FA7" w:rsidRDefault="008411D0"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现状及规划人口总量及空间分布情况。</w:t>
      </w:r>
    </w:p>
    <w:p w:rsidR="002C72DC" w:rsidRPr="00B85FA7" w:rsidRDefault="008411D0"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土地使用现状资料。包括各</w:t>
      </w:r>
      <w:r w:rsidR="0070037F" w:rsidRPr="00B85FA7">
        <w:rPr>
          <w:rFonts w:cs="Times New Roman" w:hint="eastAsia"/>
          <w:b w:val="0"/>
          <w:kern w:val="0"/>
        </w:rPr>
        <w:t>类居住用地的面积、分布，各类主要公共服务设施的现状分布情况，</w:t>
      </w:r>
      <w:r w:rsidRPr="00B85FA7">
        <w:rPr>
          <w:rFonts w:cs="Times New Roman" w:hint="eastAsia"/>
          <w:b w:val="0"/>
          <w:kern w:val="0"/>
        </w:rPr>
        <w:t>主要公共绿地及广场的分布情况等。</w:t>
      </w:r>
    </w:p>
    <w:p w:rsidR="002C72DC" w:rsidRPr="00B85FA7" w:rsidRDefault="008411D0"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世界文化遗产、历史文化保护地区</w:t>
      </w:r>
      <w:r w:rsidR="00EC5229" w:rsidRPr="00B85FA7">
        <w:rPr>
          <w:rFonts w:cs="Times New Roman" w:hint="eastAsia"/>
          <w:b w:val="0"/>
          <w:kern w:val="0"/>
        </w:rPr>
        <w:t>、</w:t>
      </w:r>
      <w:r w:rsidRPr="00B85FA7">
        <w:rPr>
          <w:rFonts w:cs="Times New Roman" w:hint="eastAsia"/>
          <w:b w:val="0"/>
          <w:kern w:val="0"/>
        </w:rPr>
        <w:t>风景名胜区、水源保护区等</w:t>
      </w:r>
      <w:r w:rsidR="00EC5229" w:rsidRPr="00B85FA7">
        <w:rPr>
          <w:rFonts w:cs="Times New Roman" w:hint="eastAsia"/>
          <w:b w:val="0"/>
          <w:kern w:val="0"/>
        </w:rPr>
        <w:t>特殊地区的</w:t>
      </w:r>
      <w:r w:rsidRPr="00B85FA7">
        <w:rPr>
          <w:rFonts w:cs="Times New Roman" w:hint="eastAsia"/>
          <w:b w:val="0"/>
          <w:kern w:val="0"/>
        </w:rPr>
        <w:t>位置与范围、保护与管理规定等相关资料。</w:t>
      </w:r>
    </w:p>
    <w:p w:rsidR="002C72DC" w:rsidRPr="00B85FA7" w:rsidRDefault="00EC5229"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道路与</w:t>
      </w:r>
      <w:r w:rsidR="0070037F" w:rsidRPr="00B85FA7">
        <w:rPr>
          <w:rFonts w:cs="Times New Roman" w:hint="eastAsia"/>
          <w:b w:val="0"/>
          <w:kern w:val="0"/>
        </w:rPr>
        <w:t>交通设施</w:t>
      </w:r>
      <w:r w:rsidR="008411D0" w:rsidRPr="00B85FA7">
        <w:rPr>
          <w:rFonts w:cs="Times New Roman" w:hint="eastAsia"/>
          <w:b w:val="0"/>
          <w:kern w:val="0"/>
        </w:rPr>
        <w:t>现状及规划资料。</w:t>
      </w:r>
    </w:p>
    <w:p w:rsidR="002C72DC" w:rsidRPr="00B85FA7" w:rsidRDefault="008411D0" w:rsidP="00E174E9">
      <w:pPr>
        <w:pStyle w:val="15"/>
        <w:widowControl w:val="0"/>
        <w:numPr>
          <w:ilvl w:val="0"/>
          <w:numId w:val="4"/>
        </w:numPr>
        <w:spacing w:line="360" w:lineRule="auto"/>
        <w:ind w:left="714" w:firstLineChars="0" w:hanging="357"/>
        <w:rPr>
          <w:rFonts w:cs="Times New Roman"/>
          <w:b w:val="0"/>
          <w:kern w:val="0"/>
          <w:szCs w:val="24"/>
        </w:rPr>
      </w:pPr>
      <w:r w:rsidRPr="00B85FA7">
        <w:rPr>
          <w:rFonts w:cs="Times New Roman" w:hint="eastAsia"/>
          <w:b w:val="0"/>
          <w:kern w:val="0"/>
        </w:rPr>
        <w:t>市政公用设施现状及规划资料。</w:t>
      </w:r>
    </w:p>
    <w:p w:rsidR="002C72DC" w:rsidRPr="00B85FA7" w:rsidRDefault="008411D0"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公共安全设施及地下空间利用现状及规划资料。</w:t>
      </w:r>
    </w:p>
    <w:p w:rsidR="002C72DC" w:rsidRPr="00B85FA7" w:rsidRDefault="008411D0" w:rsidP="00E174E9">
      <w:pPr>
        <w:pStyle w:val="15"/>
        <w:numPr>
          <w:ilvl w:val="0"/>
          <w:numId w:val="4"/>
        </w:numPr>
        <w:spacing w:line="360" w:lineRule="auto"/>
        <w:ind w:firstLineChars="0"/>
        <w:rPr>
          <w:rFonts w:cs="Times New Roman"/>
          <w:b w:val="0"/>
          <w:kern w:val="0"/>
        </w:rPr>
      </w:pPr>
      <w:r w:rsidRPr="00B85FA7">
        <w:rPr>
          <w:rFonts w:cs="Times New Roman" w:hint="eastAsia"/>
          <w:b w:val="0"/>
          <w:kern w:val="0"/>
        </w:rPr>
        <w:t>中心城区重要用地的审批资料、近期新建及改建项目计划。</w:t>
      </w:r>
    </w:p>
    <w:p w:rsidR="002C72DC" w:rsidRPr="00B85FA7" w:rsidRDefault="008411D0">
      <w:pPr>
        <w:pStyle w:val="31"/>
        <w:numPr>
          <w:ilvl w:val="2"/>
          <w:numId w:val="0"/>
        </w:numPr>
        <w:jc w:val="center"/>
      </w:pPr>
      <w:r w:rsidRPr="00B85FA7">
        <w:rPr>
          <w:rFonts w:hint="eastAsia"/>
          <w:b/>
        </w:rPr>
        <w:lastRenderedPageBreak/>
        <w:t>第二部分《轨道交通引导城市发展专题研究》编制大纲</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城市经济社会发展概要</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相关规划分析</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城市用地现状及结构发展趋势分析</w:t>
      </w:r>
    </w:p>
    <w:p w:rsidR="002C72DC" w:rsidRPr="00B85FA7" w:rsidRDefault="005C2BF2" w:rsidP="00E174E9">
      <w:pPr>
        <w:pStyle w:val="15"/>
        <w:numPr>
          <w:ilvl w:val="0"/>
          <w:numId w:val="5"/>
        </w:numPr>
        <w:spacing w:line="360" w:lineRule="auto"/>
        <w:ind w:firstLineChars="0"/>
        <w:rPr>
          <w:b w:val="0"/>
          <w:szCs w:val="24"/>
        </w:rPr>
      </w:pPr>
      <w:r w:rsidRPr="00B85FA7">
        <w:rPr>
          <w:rFonts w:hint="eastAsia"/>
          <w:b w:val="0"/>
          <w:szCs w:val="24"/>
        </w:rPr>
        <w:t>国内外</w:t>
      </w:r>
      <w:r w:rsidR="008411D0" w:rsidRPr="00B85FA7">
        <w:rPr>
          <w:rFonts w:hint="eastAsia"/>
          <w:b w:val="0"/>
          <w:szCs w:val="24"/>
        </w:rPr>
        <w:t>案例借鉴</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轨道交通线网规划与实施情况分析</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城市与轨道的一体化结构优化</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轨道交通廊道的调整建议</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城市公共服务中心结构规划</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基于轨道交通廊道的城市就业与人口分布调整规划</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城市建设强度规划</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城市客运枢纽规划</w:t>
      </w:r>
    </w:p>
    <w:p w:rsidR="002C72DC" w:rsidRPr="00B85FA7" w:rsidRDefault="008411D0" w:rsidP="00E174E9">
      <w:pPr>
        <w:pStyle w:val="15"/>
        <w:numPr>
          <w:ilvl w:val="0"/>
          <w:numId w:val="5"/>
        </w:numPr>
        <w:spacing w:line="360" w:lineRule="auto"/>
        <w:ind w:firstLineChars="0"/>
        <w:rPr>
          <w:b w:val="0"/>
          <w:szCs w:val="24"/>
        </w:rPr>
      </w:pPr>
      <w:r w:rsidRPr="00B85FA7">
        <w:rPr>
          <w:rFonts w:hint="eastAsia"/>
          <w:b w:val="0"/>
          <w:szCs w:val="24"/>
        </w:rPr>
        <w:t>轨道影响区公交</w:t>
      </w:r>
      <w:r w:rsidR="00F6667D" w:rsidRPr="00B85FA7">
        <w:rPr>
          <w:rFonts w:hint="eastAsia"/>
          <w:b w:val="0"/>
          <w:szCs w:val="24"/>
        </w:rPr>
        <w:t>优</w:t>
      </w:r>
      <w:r w:rsidRPr="00B85FA7">
        <w:rPr>
          <w:rFonts w:hint="eastAsia"/>
          <w:b w:val="0"/>
          <w:szCs w:val="24"/>
        </w:rPr>
        <w:t>先</w:t>
      </w:r>
      <w:r w:rsidR="00F6667D" w:rsidRPr="00B85FA7">
        <w:rPr>
          <w:rFonts w:hint="eastAsia"/>
          <w:b w:val="0"/>
          <w:szCs w:val="24"/>
        </w:rPr>
        <w:t>引导</w:t>
      </w:r>
      <w:r w:rsidRPr="00B85FA7">
        <w:rPr>
          <w:rFonts w:hint="eastAsia"/>
          <w:b w:val="0"/>
          <w:szCs w:val="24"/>
        </w:rPr>
        <w:t>政策</w:t>
      </w:r>
    </w:p>
    <w:p w:rsidR="002C72DC" w:rsidRPr="00B85FA7" w:rsidRDefault="008411D0">
      <w:pPr>
        <w:spacing w:before="0" w:after="0" w:line="240" w:lineRule="auto"/>
        <w:ind w:firstLineChars="0" w:firstLine="0"/>
        <w:rPr>
          <w:szCs w:val="24"/>
        </w:rPr>
      </w:pPr>
      <w:r w:rsidRPr="00B85FA7">
        <w:rPr>
          <w:b/>
          <w:szCs w:val="24"/>
        </w:rPr>
        <w:br w:type="page"/>
      </w:r>
    </w:p>
    <w:p w:rsidR="002C72DC" w:rsidRPr="00B85FA7" w:rsidRDefault="008411D0">
      <w:pPr>
        <w:pStyle w:val="1"/>
        <w:numPr>
          <w:ilvl w:val="0"/>
          <w:numId w:val="0"/>
        </w:numPr>
      </w:pPr>
      <w:bookmarkStart w:id="100" w:name="_Toc435545807"/>
      <w:r w:rsidRPr="00B85FA7">
        <w:rPr>
          <w:rFonts w:hint="eastAsia"/>
        </w:rPr>
        <w:lastRenderedPageBreak/>
        <w:t>附录</w:t>
      </w:r>
      <w:r w:rsidRPr="00B85FA7">
        <w:rPr>
          <w:rFonts w:hint="eastAsia"/>
        </w:rPr>
        <w:t xml:space="preserve">2 </w:t>
      </w:r>
      <w:r w:rsidRPr="00B85FA7">
        <w:rPr>
          <w:rFonts w:hint="eastAsia"/>
        </w:rPr>
        <w:t>线路层面规划编制引导</w:t>
      </w:r>
      <w:bookmarkEnd w:id="100"/>
    </w:p>
    <w:p w:rsidR="002C72DC" w:rsidRPr="00B85FA7" w:rsidRDefault="008411D0">
      <w:pPr>
        <w:pStyle w:val="31"/>
        <w:numPr>
          <w:ilvl w:val="2"/>
          <w:numId w:val="0"/>
        </w:numPr>
        <w:jc w:val="center"/>
      </w:pPr>
      <w:r w:rsidRPr="00B85FA7">
        <w:rPr>
          <w:rFonts w:hint="eastAsia"/>
          <w:b/>
        </w:rPr>
        <w:t>第一部分《轨道沿线用地调整规划》基础资料收集清单</w:t>
      </w:r>
    </w:p>
    <w:bookmarkEnd w:id="99"/>
    <w:p w:rsidR="005C2BF2"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已经批准的城市总体规划及近期建设规划、详细规划和专项规划</w:t>
      </w:r>
      <w:r w:rsidR="0052182D" w:rsidRPr="00B85FA7">
        <w:rPr>
          <w:rFonts w:cs="Times New Roman" w:hint="eastAsia"/>
          <w:b w:val="0"/>
          <w:kern w:val="0"/>
        </w:rPr>
        <w:t>。</w:t>
      </w:r>
    </w:p>
    <w:p w:rsidR="002C72DC"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地方城市规划编制实施细则、</w:t>
      </w:r>
      <w:r w:rsidR="005C2BF2" w:rsidRPr="00B85FA7">
        <w:rPr>
          <w:rFonts w:cs="Times New Roman" w:hint="eastAsia"/>
          <w:b w:val="0"/>
          <w:kern w:val="0"/>
        </w:rPr>
        <w:t>技术</w:t>
      </w:r>
      <w:r w:rsidRPr="00B85FA7">
        <w:rPr>
          <w:rFonts w:cs="Times New Roman" w:hint="eastAsia"/>
          <w:b w:val="0"/>
          <w:kern w:val="0"/>
        </w:rPr>
        <w:t>管理规定</w:t>
      </w:r>
      <w:r w:rsidR="005C2BF2" w:rsidRPr="00B85FA7">
        <w:rPr>
          <w:rFonts w:cs="Times New Roman" w:hint="eastAsia"/>
          <w:b w:val="0"/>
          <w:kern w:val="0"/>
        </w:rPr>
        <w:t>、居住区配套</w:t>
      </w:r>
      <w:r w:rsidR="0052182D" w:rsidRPr="00B85FA7">
        <w:rPr>
          <w:rFonts w:cs="Times New Roman" w:hint="eastAsia"/>
          <w:b w:val="0"/>
          <w:kern w:val="0"/>
        </w:rPr>
        <w:t>标准、停车配建标准</w:t>
      </w:r>
      <w:r w:rsidRPr="00B85FA7">
        <w:rPr>
          <w:rFonts w:cs="Times New Roman" w:hint="eastAsia"/>
          <w:b w:val="0"/>
          <w:kern w:val="0"/>
        </w:rPr>
        <w:t>等</w:t>
      </w:r>
      <w:r w:rsidR="0052182D" w:rsidRPr="00B85FA7">
        <w:rPr>
          <w:rFonts w:cs="Times New Roman" w:hint="eastAsia"/>
          <w:b w:val="0"/>
          <w:kern w:val="0"/>
        </w:rPr>
        <w:t>管理文件</w:t>
      </w:r>
      <w:r w:rsidRPr="00B85FA7">
        <w:rPr>
          <w:rFonts w:cs="Times New Roman" w:hint="eastAsia"/>
          <w:b w:val="0"/>
          <w:kern w:val="0"/>
        </w:rPr>
        <w:t>。</w:t>
      </w:r>
    </w:p>
    <w:p w:rsidR="002C72DC"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已批准的轨道交通线网规划及正在编制的轨道交通建设规划。</w:t>
      </w:r>
    </w:p>
    <w:p w:rsidR="002C72DC" w:rsidRPr="00B85FA7" w:rsidRDefault="0052182D"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现状</w:t>
      </w:r>
      <w:r w:rsidR="008411D0" w:rsidRPr="00B85FA7">
        <w:rPr>
          <w:rFonts w:cs="Times New Roman" w:hint="eastAsia"/>
          <w:b w:val="0"/>
          <w:kern w:val="0"/>
        </w:rPr>
        <w:t>地形图（</w:t>
      </w:r>
      <w:r w:rsidR="008411D0" w:rsidRPr="00B85FA7">
        <w:rPr>
          <w:rFonts w:cs="Times New Roman" w:hint="eastAsia"/>
          <w:b w:val="0"/>
          <w:kern w:val="0"/>
        </w:rPr>
        <w:t>1</w:t>
      </w:r>
      <w:r w:rsidR="006765A6" w:rsidRPr="00B85FA7">
        <w:rPr>
          <w:rFonts w:cs="Times New Roman"/>
          <w:b w:val="0"/>
          <w:kern w:val="0"/>
        </w:rPr>
        <w:t>:</w:t>
      </w:r>
      <w:r w:rsidR="008411D0" w:rsidRPr="00B85FA7">
        <w:rPr>
          <w:rFonts w:cs="Times New Roman" w:hint="eastAsia"/>
          <w:b w:val="0"/>
          <w:kern w:val="0"/>
        </w:rPr>
        <w:t>500</w:t>
      </w:r>
      <w:r w:rsidR="008411D0" w:rsidRPr="00B85FA7">
        <w:rPr>
          <w:rFonts w:cs="Times New Roman" w:hint="eastAsia"/>
          <w:b w:val="0"/>
          <w:kern w:val="0"/>
        </w:rPr>
        <w:t>～</w:t>
      </w:r>
      <w:r w:rsidR="008411D0" w:rsidRPr="00B85FA7">
        <w:rPr>
          <w:rFonts w:cs="Times New Roman" w:hint="eastAsia"/>
          <w:b w:val="0"/>
          <w:kern w:val="0"/>
        </w:rPr>
        <w:t>1</w:t>
      </w:r>
      <w:r w:rsidR="006765A6" w:rsidRPr="00B85FA7">
        <w:rPr>
          <w:rFonts w:cs="Times New Roman"/>
          <w:b w:val="0"/>
          <w:kern w:val="0"/>
        </w:rPr>
        <w:t>:</w:t>
      </w:r>
      <w:r w:rsidR="008411D0" w:rsidRPr="00B85FA7">
        <w:rPr>
          <w:rFonts w:cs="Times New Roman" w:hint="eastAsia"/>
          <w:b w:val="0"/>
          <w:kern w:val="0"/>
        </w:rPr>
        <w:t>5000</w:t>
      </w:r>
      <w:r w:rsidRPr="00B85FA7">
        <w:rPr>
          <w:rFonts w:cs="Times New Roman" w:hint="eastAsia"/>
          <w:b w:val="0"/>
          <w:kern w:val="0"/>
        </w:rPr>
        <w:t>）、</w:t>
      </w:r>
      <w:r w:rsidR="008411D0" w:rsidRPr="00B85FA7">
        <w:rPr>
          <w:rFonts w:cs="Times New Roman" w:hint="eastAsia"/>
          <w:b w:val="0"/>
          <w:kern w:val="0"/>
        </w:rPr>
        <w:t>遥感信息地图、影像图和地形地貌、河流水系、植被等自然条件资料和生态环境资料，特别是地质灾害分布及影响范围、危害程度等资料。</w:t>
      </w:r>
    </w:p>
    <w:p w:rsidR="002C72DC"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轨道沿线历史文化街区、文物保护单位等历史文化资料。</w:t>
      </w:r>
    </w:p>
    <w:p w:rsidR="002C72DC"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土地使用现状资料（</w:t>
      </w:r>
      <w:r w:rsidRPr="00B85FA7">
        <w:rPr>
          <w:rFonts w:cs="Times New Roman" w:hint="eastAsia"/>
          <w:b w:val="0"/>
          <w:kern w:val="0"/>
        </w:rPr>
        <w:t>1</w:t>
      </w:r>
      <w:r w:rsidR="006765A6" w:rsidRPr="00B85FA7">
        <w:rPr>
          <w:rFonts w:cs="Times New Roman"/>
          <w:b w:val="0"/>
          <w:kern w:val="0"/>
        </w:rPr>
        <w:t>:</w:t>
      </w:r>
      <w:r w:rsidRPr="00B85FA7">
        <w:rPr>
          <w:rFonts w:cs="Times New Roman" w:hint="eastAsia"/>
          <w:b w:val="0"/>
          <w:kern w:val="0"/>
        </w:rPr>
        <w:t>500</w:t>
      </w:r>
      <w:r w:rsidRPr="00B85FA7">
        <w:rPr>
          <w:rFonts w:cs="Times New Roman" w:hint="eastAsia"/>
          <w:b w:val="0"/>
          <w:kern w:val="0"/>
        </w:rPr>
        <w:t>～</w:t>
      </w:r>
      <w:r w:rsidRPr="00B85FA7">
        <w:rPr>
          <w:rFonts w:cs="Times New Roman" w:hint="eastAsia"/>
          <w:b w:val="0"/>
          <w:kern w:val="0"/>
        </w:rPr>
        <w:t>1</w:t>
      </w:r>
      <w:r w:rsidR="006765A6" w:rsidRPr="00B85FA7">
        <w:rPr>
          <w:rFonts w:cs="Times New Roman"/>
          <w:b w:val="0"/>
          <w:kern w:val="0"/>
        </w:rPr>
        <w:t>:</w:t>
      </w:r>
      <w:r w:rsidRPr="00B85FA7">
        <w:rPr>
          <w:rFonts w:cs="Times New Roman" w:hint="eastAsia"/>
          <w:b w:val="0"/>
          <w:kern w:val="0"/>
        </w:rPr>
        <w:t>5000</w:t>
      </w:r>
      <w:r w:rsidRPr="00B85FA7">
        <w:rPr>
          <w:rFonts w:cs="Times New Roman" w:hint="eastAsia"/>
          <w:b w:val="0"/>
          <w:kern w:val="0"/>
        </w:rPr>
        <w:t>）、规划范围及周边用地情况、土地产权与地籍资料，包括城市中划拨用地、已批在建用地、已出让和已批未建用地、绿地与广场用地等资料。</w:t>
      </w:r>
    </w:p>
    <w:p w:rsidR="002C72DC"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规划范围现状与规划的人口详细资料和居住资料，包括人口数量、人口密度、人口分布、人口构成、居住布局等。</w:t>
      </w:r>
    </w:p>
    <w:p w:rsidR="002C72DC"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公共管理与公共服务设施和商业服务业设施设置的现状和规划资料。</w:t>
      </w:r>
    </w:p>
    <w:p w:rsidR="002C72DC"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道路与交通设施现状及规划资料。</w:t>
      </w:r>
    </w:p>
    <w:p w:rsidR="002C72DC"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市政公用设施现状及规划资料。</w:t>
      </w:r>
    </w:p>
    <w:p w:rsidR="002C72DC" w:rsidRPr="00B85FA7" w:rsidRDefault="008411D0" w:rsidP="00E174E9">
      <w:pPr>
        <w:pStyle w:val="15"/>
        <w:numPr>
          <w:ilvl w:val="0"/>
          <w:numId w:val="6"/>
        </w:numPr>
        <w:spacing w:line="360" w:lineRule="auto"/>
        <w:ind w:firstLineChars="0"/>
        <w:rPr>
          <w:rFonts w:cs="Times New Roman"/>
          <w:b w:val="0"/>
          <w:kern w:val="0"/>
        </w:rPr>
      </w:pPr>
      <w:r w:rsidRPr="00B85FA7">
        <w:rPr>
          <w:rFonts w:cs="Times New Roman" w:hint="eastAsia"/>
          <w:b w:val="0"/>
          <w:kern w:val="0"/>
        </w:rPr>
        <w:t>公共安全设施及地下空间利用现状资料。</w:t>
      </w:r>
    </w:p>
    <w:p w:rsidR="002C72DC" w:rsidRPr="00B85FA7" w:rsidRDefault="008411D0" w:rsidP="00E174E9">
      <w:pPr>
        <w:pStyle w:val="15"/>
        <w:numPr>
          <w:ilvl w:val="0"/>
          <w:numId w:val="6"/>
        </w:numPr>
        <w:spacing w:line="360" w:lineRule="auto"/>
        <w:ind w:left="714" w:firstLineChars="0" w:hanging="357"/>
        <w:rPr>
          <w:rFonts w:cs="Times New Roman"/>
          <w:b w:val="0"/>
          <w:kern w:val="0"/>
        </w:rPr>
      </w:pPr>
      <w:r w:rsidRPr="00B85FA7">
        <w:rPr>
          <w:rFonts w:cs="Times New Roman" w:hint="eastAsia"/>
          <w:b w:val="0"/>
          <w:kern w:val="0"/>
        </w:rPr>
        <w:t>建筑现状（各类建筑类型与分布，建筑性质、质量、层数等）资料。</w:t>
      </w:r>
    </w:p>
    <w:p w:rsidR="002C72DC" w:rsidRPr="00B85FA7" w:rsidRDefault="008411D0" w:rsidP="00E174E9">
      <w:pPr>
        <w:pStyle w:val="15"/>
        <w:numPr>
          <w:ilvl w:val="0"/>
          <w:numId w:val="6"/>
        </w:numPr>
        <w:spacing w:line="360" w:lineRule="auto"/>
        <w:ind w:left="714" w:firstLineChars="0" w:hanging="357"/>
        <w:rPr>
          <w:rFonts w:cs="Times New Roman"/>
          <w:b w:val="0"/>
          <w:kern w:val="0"/>
        </w:rPr>
      </w:pPr>
      <w:r w:rsidRPr="00B85FA7">
        <w:rPr>
          <w:rFonts w:cs="Times New Roman" w:hint="eastAsia"/>
          <w:b w:val="0"/>
          <w:kern w:val="0"/>
        </w:rPr>
        <w:t>土地经济（土地级差、地价等级、开发方式、房地产指数）等现状资料。</w:t>
      </w:r>
    </w:p>
    <w:p w:rsidR="0052182D" w:rsidRPr="00B85FA7" w:rsidRDefault="0052182D" w:rsidP="0052182D">
      <w:pPr>
        <w:pStyle w:val="15"/>
        <w:spacing w:line="360" w:lineRule="auto"/>
        <w:ind w:left="714" w:firstLineChars="0" w:firstLine="0"/>
        <w:rPr>
          <w:rFonts w:cs="Times New Roman"/>
          <w:b w:val="0"/>
          <w:kern w:val="0"/>
        </w:rPr>
      </w:pPr>
    </w:p>
    <w:p w:rsidR="002C72DC" w:rsidRPr="00B85FA7" w:rsidRDefault="008411D0">
      <w:pPr>
        <w:pStyle w:val="31"/>
        <w:numPr>
          <w:ilvl w:val="2"/>
          <w:numId w:val="0"/>
        </w:numPr>
        <w:jc w:val="center"/>
      </w:pPr>
      <w:r w:rsidRPr="00B85FA7">
        <w:rPr>
          <w:rFonts w:hint="eastAsia"/>
          <w:b/>
        </w:rPr>
        <w:t>第二部分《轨道沿线用地调整规划》编制大纲</w:t>
      </w:r>
    </w:p>
    <w:p w:rsidR="002C72DC" w:rsidRPr="00B85FA7" w:rsidRDefault="008411D0" w:rsidP="00E174E9">
      <w:pPr>
        <w:pStyle w:val="15"/>
        <w:numPr>
          <w:ilvl w:val="0"/>
          <w:numId w:val="7"/>
        </w:numPr>
        <w:spacing w:line="360" w:lineRule="auto"/>
        <w:ind w:firstLineChars="0"/>
        <w:rPr>
          <w:rFonts w:cs="Times New Roman"/>
          <w:b w:val="0"/>
          <w:kern w:val="0"/>
        </w:rPr>
      </w:pPr>
      <w:r w:rsidRPr="00B85FA7">
        <w:rPr>
          <w:rFonts w:cs="Times New Roman" w:hint="eastAsia"/>
          <w:b w:val="0"/>
          <w:kern w:val="0"/>
        </w:rPr>
        <w:t>总则</w:t>
      </w:r>
    </w:p>
    <w:p w:rsidR="002C72DC" w:rsidRPr="00B85FA7" w:rsidRDefault="008411D0">
      <w:pPr>
        <w:ind w:firstLine="360"/>
      </w:pPr>
      <w:r w:rsidRPr="00B85FA7">
        <w:rPr>
          <w:rFonts w:hint="eastAsia"/>
        </w:rPr>
        <w:t>明确规划编制依据、规划目标及原则。</w:t>
      </w:r>
    </w:p>
    <w:p w:rsidR="002C72DC" w:rsidRPr="00B85FA7" w:rsidRDefault="008411D0" w:rsidP="00E174E9">
      <w:pPr>
        <w:pStyle w:val="15"/>
        <w:numPr>
          <w:ilvl w:val="0"/>
          <w:numId w:val="7"/>
        </w:numPr>
        <w:spacing w:line="360" w:lineRule="auto"/>
        <w:ind w:firstLineChars="0"/>
        <w:rPr>
          <w:rFonts w:cs="Times New Roman"/>
          <w:b w:val="0"/>
          <w:kern w:val="0"/>
        </w:rPr>
      </w:pPr>
      <w:r w:rsidRPr="00B85FA7">
        <w:rPr>
          <w:rFonts w:cs="Times New Roman" w:hint="eastAsia"/>
          <w:b w:val="0"/>
          <w:kern w:val="0"/>
        </w:rPr>
        <w:t>规划范围</w:t>
      </w:r>
    </w:p>
    <w:p w:rsidR="002C72DC" w:rsidRPr="00B85FA7" w:rsidRDefault="008411D0">
      <w:pPr>
        <w:ind w:firstLine="360"/>
      </w:pPr>
      <w:r w:rsidRPr="00B85FA7">
        <w:rPr>
          <w:rFonts w:hint="eastAsia"/>
        </w:rPr>
        <w:t>明确轨道影响区和轨道站点核心区的范围边界。</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片区划分及功能定位</w:t>
      </w:r>
    </w:p>
    <w:p w:rsidR="002C72DC" w:rsidRPr="00B85FA7" w:rsidRDefault="008411D0">
      <w:pPr>
        <w:ind w:firstLine="360"/>
      </w:pPr>
      <w:r w:rsidRPr="00B85FA7">
        <w:rPr>
          <w:rFonts w:hint="eastAsia"/>
        </w:rPr>
        <w:t>明确沿线城市功能片区的划分方式及每个片区的功能定位。</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各站点功能定位</w:t>
      </w:r>
    </w:p>
    <w:p w:rsidR="002C72DC" w:rsidRPr="00B85FA7" w:rsidRDefault="008411D0">
      <w:pPr>
        <w:ind w:firstLine="360"/>
      </w:pPr>
      <w:r w:rsidRPr="00B85FA7">
        <w:rPr>
          <w:rFonts w:hint="eastAsia"/>
        </w:rPr>
        <w:t>确定各站点的功能定位和主要功能构成。</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潜力地块确定</w:t>
      </w:r>
    </w:p>
    <w:p w:rsidR="002C72DC" w:rsidRPr="00B85FA7" w:rsidRDefault="008411D0">
      <w:pPr>
        <w:ind w:firstLine="360"/>
      </w:pPr>
      <w:r w:rsidRPr="00B85FA7">
        <w:rPr>
          <w:rFonts w:hint="eastAsia"/>
        </w:rPr>
        <w:t>明确结合站点开发需要储备用地的范围和规模。</w:t>
      </w:r>
    </w:p>
    <w:p w:rsidR="002C72DC" w:rsidRPr="00B85FA7" w:rsidRDefault="00F6667D" w:rsidP="00E174E9">
      <w:pPr>
        <w:pStyle w:val="15"/>
        <w:numPr>
          <w:ilvl w:val="0"/>
          <w:numId w:val="7"/>
        </w:numPr>
        <w:spacing w:line="360" w:lineRule="auto"/>
        <w:ind w:firstLineChars="0"/>
        <w:rPr>
          <w:b w:val="0"/>
          <w:szCs w:val="24"/>
        </w:rPr>
      </w:pPr>
      <w:r w:rsidRPr="00B85FA7">
        <w:rPr>
          <w:rFonts w:hint="eastAsia"/>
          <w:b w:val="0"/>
          <w:szCs w:val="24"/>
        </w:rPr>
        <w:t>用地调整</w:t>
      </w:r>
      <w:r w:rsidR="008411D0" w:rsidRPr="00B85FA7">
        <w:rPr>
          <w:rFonts w:hint="eastAsia"/>
          <w:b w:val="0"/>
          <w:szCs w:val="24"/>
        </w:rPr>
        <w:t>规划</w:t>
      </w:r>
    </w:p>
    <w:p w:rsidR="002C72DC" w:rsidRPr="00B85FA7" w:rsidRDefault="008411D0">
      <w:pPr>
        <w:ind w:firstLine="360"/>
      </w:pPr>
      <w:r w:rsidRPr="00B85FA7">
        <w:rPr>
          <w:rFonts w:hint="eastAsia"/>
        </w:rPr>
        <w:t>明确规划范围内的用地功能及兼容性。</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公共服务设施</w:t>
      </w:r>
      <w:r w:rsidR="006B316F" w:rsidRPr="00B85FA7">
        <w:rPr>
          <w:rFonts w:hint="eastAsia"/>
          <w:b w:val="0"/>
          <w:szCs w:val="24"/>
        </w:rPr>
        <w:t>调整</w:t>
      </w:r>
      <w:r w:rsidRPr="00B85FA7">
        <w:rPr>
          <w:rFonts w:hint="eastAsia"/>
          <w:b w:val="0"/>
          <w:szCs w:val="24"/>
        </w:rPr>
        <w:t>规划</w:t>
      </w:r>
    </w:p>
    <w:p w:rsidR="002C72DC" w:rsidRPr="00B85FA7" w:rsidRDefault="008411D0" w:rsidP="00C63E80">
      <w:pPr>
        <w:widowControl w:val="0"/>
        <w:ind w:firstLine="360"/>
      </w:pPr>
      <w:r w:rsidRPr="00B85FA7">
        <w:rPr>
          <w:rFonts w:hint="eastAsia"/>
        </w:rPr>
        <w:t>明确规划范围内教育、医疗、文化娱乐、体育设施及为居住社区配套的中小学、养老设施等各项服务设施的建设规模、位置和范围，并就其建设形式给出建议。</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绿地系统</w:t>
      </w:r>
      <w:r w:rsidR="00F6667D" w:rsidRPr="00B85FA7">
        <w:rPr>
          <w:rFonts w:hint="eastAsia"/>
          <w:b w:val="0"/>
          <w:szCs w:val="24"/>
        </w:rPr>
        <w:t>调整</w:t>
      </w:r>
      <w:r w:rsidRPr="00B85FA7">
        <w:rPr>
          <w:rFonts w:hint="eastAsia"/>
          <w:b w:val="0"/>
          <w:szCs w:val="24"/>
        </w:rPr>
        <w:t>规划</w:t>
      </w:r>
    </w:p>
    <w:p w:rsidR="002C72DC" w:rsidRPr="00B85FA7" w:rsidRDefault="008411D0">
      <w:pPr>
        <w:ind w:firstLine="360"/>
      </w:pPr>
      <w:r w:rsidRPr="00B85FA7">
        <w:rPr>
          <w:rFonts w:hint="eastAsia"/>
        </w:rPr>
        <w:t>明确规划范围内各类绿地的结构、功能、建设规模和建设方式。</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建设用地强度</w:t>
      </w:r>
      <w:r w:rsidR="006B316F" w:rsidRPr="00B85FA7">
        <w:rPr>
          <w:rFonts w:hint="eastAsia"/>
          <w:b w:val="0"/>
          <w:szCs w:val="24"/>
        </w:rPr>
        <w:t>调整规划</w:t>
      </w:r>
    </w:p>
    <w:p w:rsidR="002C72DC" w:rsidRPr="00B85FA7" w:rsidRDefault="008411D0">
      <w:pPr>
        <w:ind w:firstLine="360"/>
      </w:pPr>
      <w:r w:rsidRPr="00B85FA7">
        <w:rPr>
          <w:rFonts w:hint="eastAsia"/>
        </w:rPr>
        <w:lastRenderedPageBreak/>
        <w:t>确定轨道</w:t>
      </w:r>
      <w:r w:rsidR="0052182D" w:rsidRPr="00B85FA7">
        <w:rPr>
          <w:rFonts w:hint="eastAsia"/>
        </w:rPr>
        <w:t>影响区与站点核心区的建设用地容积率分区，并明确各区内容积率的</w:t>
      </w:r>
      <w:r w:rsidRPr="00B85FA7">
        <w:rPr>
          <w:rFonts w:hint="eastAsia"/>
        </w:rPr>
        <w:t>控制值。</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道路交通</w:t>
      </w:r>
      <w:r w:rsidR="006B316F" w:rsidRPr="00B85FA7">
        <w:rPr>
          <w:rFonts w:hint="eastAsia"/>
          <w:b w:val="0"/>
          <w:szCs w:val="24"/>
        </w:rPr>
        <w:t>调整</w:t>
      </w:r>
      <w:r w:rsidRPr="00B85FA7">
        <w:rPr>
          <w:rFonts w:hint="eastAsia"/>
          <w:b w:val="0"/>
          <w:szCs w:val="24"/>
        </w:rPr>
        <w:t>规划</w:t>
      </w:r>
    </w:p>
    <w:p w:rsidR="002C72DC" w:rsidRPr="00B85FA7" w:rsidRDefault="0052182D">
      <w:pPr>
        <w:ind w:firstLine="360"/>
      </w:pPr>
      <w:r w:rsidRPr="00B85FA7">
        <w:rPr>
          <w:rFonts w:hint="eastAsia"/>
        </w:rPr>
        <w:t>明确规划范围内的道路等级、功能及</w:t>
      </w:r>
      <w:r w:rsidR="008411D0" w:rsidRPr="00B85FA7">
        <w:rPr>
          <w:rFonts w:hint="eastAsia"/>
        </w:rPr>
        <w:t>断面形式；明确规划区内步行和非机动车交通系统的结构与设置规定；明确道路网密度，并对重要</w:t>
      </w:r>
      <w:r w:rsidR="003B330F" w:rsidRPr="00B85FA7">
        <w:rPr>
          <w:rFonts w:hint="eastAsia"/>
        </w:rPr>
        <w:t>节点的道路设计给出指导规定；明确配建停车场的指标要求。</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交通换乘设施规划</w:t>
      </w:r>
    </w:p>
    <w:p w:rsidR="002C72DC" w:rsidRPr="00B85FA7" w:rsidRDefault="008411D0">
      <w:pPr>
        <w:ind w:firstLine="360"/>
      </w:pPr>
      <w:r w:rsidRPr="00B85FA7">
        <w:rPr>
          <w:rFonts w:hint="eastAsia"/>
        </w:rPr>
        <w:t>明确轨道交通换乘设施规模及布局要求</w:t>
      </w:r>
      <w:r w:rsidR="003B330F" w:rsidRPr="00B85FA7">
        <w:rPr>
          <w:rFonts w:hint="eastAsia"/>
        </w:rPr>
        <w:t>，对与轨道换乘的步行</w:t>
      </w:r>
      <w:r w:rsidRPr="00B85FA7">
        <w:rPr>
          <w:rFonts w:hint="eastAsia"/>
        </w:rPr>
        <w:t>流线组织做出规划安排。</w:t>
      </w:r>
    </w:p>
    <w:p w:rsidR="003B330F" w:rsidRPr="00B85FA7" w:rsidRDefault="003B330F" w:rsidP="00E174E9">
      <w:pPr>
        <w:pStyle w:val="15"/>
        <w:numPr>
          <w:ilvl w:val="0"/>
          <w:numId w:val="7"/>
        </w:numPr>
        <w:spacing w:line="360" w:lineRule="auto"/>
        <w:ind w:firstLineChars="0"/>
        <w:rPr>
          <w:b w:val="0"/>
          <w:szCs w:val="24"/>
        </w:rPr>
      </w:pPr>
      <w:r w:rsidRPr="00B85FA7">
        <w:rPr>
          <w:rFonts w:hint="eastAsia"/>
          <w:b w:val="0"/>
          <w:szCs w:val="24"/>
        </w:rPr>
        <w:t>步行系统规划</w:t>
      </w:r>
    </w:p>
    <w:p w:rsidR="003B330F" w:rsidRPr="00B85FA7" w:rsidRDefault="003B330F" w:rsidP="003B330F">
      <w:pPr>
        <w:ind w:firstLine="360"/>
      </w:pPr>
      <w:r w:rsidRPr="00B85FA7">
        <w:rPr>
          <w:rFonts w:hint="eastAsia"/>
        </w:rPr>
        <w:t>明确规划区内步行系统的布局、衔接重点、建设形式及空间景观要求。</w:t>
      </w:r>
    </w:p>
    <w:p w:rsidR="00674ACE" w:rsidRPr="00B85FA7" w:rsidRDefault="00674ACE" w:rsidP="00E174E9">
      <w:pPr>
        <w:pStyle w:val="15"/>
        <w:numPr>
          <w:ilvl w:val="0"/>
          <w:numId w:val="7"/>
        </w:numPr>
        <w:spacing w:line="360" w:lineRule="auto"/>
        <w:ind w:firstLineChars="0"/>
        <w:rPr>
          <w:b w:val="0"/>
          <w:szCs w:val="24"/>
        </w:rPr>
      </w:pPr>
      <w:r w:rsidRPr="00B85FA7">
        <w:rPr>
          <w:rFonts w:hint="eastAsia"/>
          <w:b w:val="0"/>
          <w:szCs w:val="24"/>
        </w:rPr>
        <w:t>地下空间规划</w:t>
      </w:r>
    </w:p>
    <w:p w:rsidR="00674ACE" w:rsidRPr="00B85FA7" w:rsidRDefault="00674ACE" w:rsidP="00674ACE">
      <w:pPr>
        <w:ind w:firstLine="360"/>
      </w:pPr>
      <w:r w:rsidRPr="00B85FA7">
        <w:rPr>
          <w:rFonts w:hint="eastAsia"/>
        </w:rPr>
        <w:t>明确规划区内地</w:t>
      </w:r>
      <w:proofErr w:type="gramStart"/>
      <w:r w:rsidRPr="00B85FA7">
        <w:rPr>
          <w:rFonts w:hint="eastAsia"/>
        </w:rPr>
        <w:t>下空间</w:t>
      </w:r>
      <w:proofErr w:type="gramEnd"/>
      <w:r w:rsidRPr="00B85FA7">
        <w:rPr>
          <w:rFonts w:hint="eastAsia"/>
        </w:rPr>
        <w:t>的功能、规模及控制要求。</w:t>
      </w:r>
    </w:p>
    <w:p w:rsidR="002C72DC" w:rsidRPr="00B85FA7" w:rsidRDefault="003B330F" w:rsidP="00E174E9">
      <w:pPr>
        <w:pStyle w:val="15"/>
        <w:numPr>
          <w:ilvl w:val="0"/>
          <w:numId w:val="7"/>
        </w:numPr>
        <w:spacing w:line="360" w:lineRule="auto"/>
        <w:ind w:firstLineChars="0"/>
        <w:rPr>
          <w:b w:val="0"/>
          <w:szCs w:val="24"/>
        </w:rPr>
      </w:pPr>
      <w:r w:rsidRPr="00B85FA7">
        <w:rPr>
          <w:rFonts w:hint="eastAsia"/>
          <w:b w:val="0"/>
          <w:szCs w:val="24"/>
        </w:rPr>
        <w:t>轨道交通设施</w:t>
      </w:r>
      <w:r w:rsidR="008411D0" w:rsidRPr="00B85FA7">
        <w:rPr>
          <w:rFonts w:hint="eastAsia"/>
          <w:b w:val="0"/>
          <w:szCs w:val="24"/>
        </w:rPr>
        <w:t>用地控制规划</w:t>
      </w:r>
    </w:p>
    <w:p w:rsidR="002C72DC" w:rsidRPr="00B85FA7" w:rsidRDefault="008411D0">
      <w:pPr>
        <w:ind w:firstLine="360"/>
      </w:pPr>
      <w:r w:rsidRPr="00B85FA7">
        <w:rPr>
          <w:rFonts w:hint="eastAsia"/>
        </w:rPr>
        <w:t>明确各项轨道交通设施如停车场、车辆段、折返线、联络线等的用地边界及控制条件。</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市政设施</w:t>
      </w:r>
      <w:r w:rsidR="006B316F" w:rsidRPr="00B85FA7">
        <w:rPr>
          <w:rFonts w:hint="eastAsia"/>
          <w:b w:val="0"/>
          <w:szCs w:val="24"/>
        </w:rPr>
        <w:t>调整</w:t>
      </w:r>
      <w:r w:rsidRPr="00B85FA7">
        <w:rPr>
          <w:rFonts w:hint="eastAsia"/>
          <w:b w:val="0"/>
          <w:szCs w:val="24"/>
        </w:rPr>
        <w:t>规划</w:t>
      </w:r>
    </w:p>
    <w:p w:rsidR="002C72DC" w:rsidRPr="00B85FA7" w:rsidRDefault="008411D0">
      <w:pPr>
        <w:ind w:firstLine="360"/>
      </w:pPr>
      <w:r w:rsidRPr="00B85FA7">
        <w:rPr>
          <w:rFonts w:hint="eastAsia"/>
        </w:rPr>
        <w:t>明确规划区内大型市政设施的建设控制要求及工程布置的基本方式。</w:t>
      </w:r>
    </w:p>
    <w:p w:rsidR="002C72DC" w:rsidRPr="00B85FA7" w:rsidRDefault="008411D0" w:rsidP="00E174E9">
      <w:pPr>
        <w:pStyle w:val="15"/>
        <w:numPr>
          <w:ilvl w:val="0"/>
          <w:numId w:val="7"/>
        </w:numPr>
        <w:spacing w:line="360" w:lineRule="auto"/>
        <w:ind w:firstLineChars="0"/>
        <w:rPr>
          <w:b w:val="0"/>
          <w:szCs w:val="24"/>
        </w:rPr>
      </w:pPr>
      <w:r w:rsidRPr="00B85FA7">
        <w:rPr>
          <w:rFonts w:hint="eastAsia"/>
          <w:b w:val="0"/>
          <w:szCs w:val="24"/>
        </w:rPr>
        <w:t>城市设计控制要素</w:t>
      </w:r>
    </w:p>
    <w:p w:rsidR="002C72DC" w:rsidRPr="00B85FA7" w:rsidRDefault="008411D0">
      <w:pPr>
        <w:ind w:firstLine="360"/>
      </w:pPr>
      <w:r w:rsidRPr="00B85FA7">
        <w:rPr>
          <w:rFonts w:hint="eastAsia"/>
        </w:rPr>
        <w:t>明确规划区内城市公共空间的结构、规模、位置与控制要求，对规划区内的建筑形态及景观环境设计提出概念性方案。</w:t>
      </w:r>
    </w:p>
    <w:p w:rsidR="002C72DC" w:rsidRPr="00B85FA7" w:rsidRDefault="008411D0">
      <w:pPr>
        <w:pStyle w:val="31"/>
        <w:numPr>
          <w:ilvl w:val="2"/>
          <w:numId w:val="0"/>
        </w:numPr>
        <w:jc w:val="center"/>
      </w:pPr>
      <w:r w:rsidRPr="00B85FA7">
        <w:rPr>
          <w:rFonts w:hint="eastAsia"/>
          <w:b/>
        </w:rPr>
        <w:t>第三部分《轨道沿线用地调整规划》</w:t>
      </w:r>
      <w:r w:rsidR="006B316F" w:rsidRPr="00B85FA7">
        <w:rPr>
          <w:rFonts w:hint="eastAsia"/>
          <w:b/>
        </w:rPr>
        <w:t>重要图纸</w:t>
      </w:r>
    </w:p>
    <w:p w:rsidR="00343010" w:rsidRPr="00B85FA7" w:rsidRDefault="008411D0">
      <w:pPr>
        <w:ind w:firstLine="360"/>
      </w:pPr>
      <w:r w:rsidRPr="00B85FA7">
        <w:rPr>
          <w:rFonts w:hint="eastAsia"/>
        </w:rPr>
        <w:t>《轨道沿线用地调整规划》包括控制性图纸和分析类图纸两类。</w:t>
      </w:r>
    </w:p>
    <w:p w:rsidR="002C72DC" w:rsidRPr="00B85FA7" w:rsidRDefault="008411D0" w:rsidP="00E82C7C">
      <w:pPr>
        <w:widowControl w:val="0"/>
        <w:ind w:firstLine="360"/>
      </w:pPr>
      <w:r w:rsidRPr="00B85FA7">
        <w:rPr>
          <w:rFonts w:hint="eastAsia"/>
        </w:rPr>
        <w:lastRenderedPageBreak/>
        <w:t>控制性图纸包括：</w:t>
      </w:r>
      <w:bookmarkStart w:id="101" w:name="OLE_LINK19"/>
      <w:bookmarkStart w:id="102" w:name="OLE_LINK20"/>
      <w:r w:rsidRPr="00B85FA7">
        <w:rPr>
          <w:rFonts w:hint="eastAsia"/>
        </w:rPr>
        <w:t>规划范围图、</w:t>
      </w:r>
      <w:r w:rsidR="00520B8F" w:rsidRPr="00B85FA7">
        <w:rPr>
          <w:rFonts w:hint="eastAsia"/>
        </w:rPr>
        <w:t>用地调整规划图、</w:t>
      </w:r>
      <w:r w:rsidRPr="00B85FA7">
        <w:rPr>
          <w:rFonts w:hint="eastAsia"/>
        </w:rPr>
        <w:t>建设强度分区图、道路规划图、交</w:t>
      </w:r>
      <w:r w:rsidR="006B316F" w:rsidRPr="00B85FA7">
        <w:rPr>
          <w:rFonts w:hint="eastAsia"/>
        </w:rPr>
        <w:t>通设施规划图、公共设施规划图</w:t>
      </w:r>
      <w:r w:rsidRPr="00B85FA7">
        <w:rPr>
          <w:rFonts w:hint="eastAsia"/>
        </w:rPr>
        <w:t>、</w:t>
      </w:r>
      <w:r w:rsidR="00520B8F" w:rsidRPr="00B85FA7">
        <w:rPr>
          <w:rFonts w:hint="eastAsia"/>
        </w:rPr>
        <w:t>绿地系统规划图、步行系统规划图、</w:t>
      </w:r>
      <w:r w:rsidRPr="00B85FA7">
        <w:rPr>
          <w:rFonts w:hint="eastAsia"/>
        </w:rPr>
        <w:t>轨</w:t>
      </w:r>
      <w:r w:rsidR="00520B8F" w:rsidRPr="00B85FA7">
        <w:rPr>
          <w:rFonts w:hint="eastAsia"/>
        </w:rPr>
        <w:t>道设施控制图、市政</w:t>
      </w:r>
      <w:r w:rsidR="008F6C10" w:rsidRPr="00B85FA7">
        <w:rPr>
          <w:rFonts w:hint="eastAsia"/>
        </w:rPr>
        <w:t>管线设计综合</w:t>
      </w:r>
      <w:r w:rsidR="008F6C10" w:rsidRPr="00B85FA7">
        <w:t>方案</w:t>
      </w:r>
      <w:r w:rsidR="00520B8F" w:rsidRPr="00B85FA7">
        <w:rPr>
          <w:rFonts w:hint="eastAsia"/>
        </w:rPr>
        <w:t>图</w:t>
      </w:r>
      <w:r w:rsidRPr="00B85FA7">
        <w:rPr>
          <w:rFonts w:hint="eastAsia"/>
        </w:rPr>
        <w:t>。</w:t>
      </w:r>
      <w:bookmarkEnd w:id="101"/>
      <w:bookmarkEnd w:id="102"/>
    </w:p>
    <w:p w:rsidR="002C72DC" w:rsidRPr="00B85FA7" w:rsidRDefault="008411D0" w:rsidP="00E82C7C">
      <w:pPr>
        <w:widowControl w:val="0"/>
        <w:ind w:firstLine="360"/>
      </w:pPr>
      <w:r w:rsidRPr="00B85FA7">
        <w:rPr>
          <w:rFonts w:hint="eastAsia"/>
        </w:rPr>
        <w:t>分析类图纸包括但不限于以下类型：现状分析图（可多张）、用地潜力分析图、核心区城市设计总平面图、核心区城市设计空间意向图、空间景观分析图等。</w:t>
      </w:r>
    </w:p>
    <w:p w:rsidR="002C72DC" w:rsidRPr="00B85FA7" w:rsidRDefault="008411D0">
      <w:pPr>
        <w:spacing w:before="0" w:after="0" w:line="240" w:lineRule="auto"/>
        <w:ind w:firstLineChars="0" w:firstLine="0"/>
        <w:rPr>
          <w:rFonts w:cs="Times New Roman"/>
          <w:kern w:val="0"/>
          <w:szCs w:val="24"/>
        </w:rPr>
      </w:pPr>
      <w:r w:rsidRPr="00B85FA7">
        <w:rPr>
          <w:rFonts w:cs="Times New Roman"/>
          <w:b/>
          <w:kern w:val="0"/>
        </w:rPr>
        <w:br w:type="page"/>
      </w:r>
    </w:p>
    <w:p w:rsidR="002C72DC" w:rsidRPr="00B85FA7" w:rsidRDefault="008411D0">
      <w:pPr>
        <w:pStyle w:val="1"/>
        <w:numPr>
          <w:ilvl w:val="0"/>
          <w:numId w:val="0"/>
        </w:numPr>
      </w:pPr>
      <w:bookmarkStart w:id="103" w:name="_Toc435545808"/>
      <w:bookmarkStart w:id="104" w:name="_Toc398105674"/>
      <w:r w:rsidRPr="00B85FA7">
        <w:rPr>
          <w:rFonts w:hint="eastAsia"/>
        </w:rPr>
        <w:lastRenderedPageBreak/>
        <w:t>附录</w:t>
      </w:r>
      <w:r w:rsidRPr="00B85FA7">
        <w:rPr>
          <w:rFonts w:hint="eastAsia"/>
        </w:rPr>
        <w:t>3</w:t>
      </w:r>
      <w:r w:rsidR="007C0E36">
        <w:t xml:space="preserve"> </w:t>
      </w:r>
      <w:r w:rsidRPr="00B85FA7">
        <w:rPr>
          <w:rFonts w:hint="eastAsia"/>
        </w:rPr>
        <w:t>站点层面规划设计编制引导</w:t>
      </w:r>
      <w:bookmarkEnd w:id="103"/>
    </w:p>
    <w:p w:rsidR="002C72DC" w:rsidRPr="00B85FA7" w:rsidRDefault="008411D0">
      <w:pPr>
        <w:pStyle w:val="31"/>
        <w:numPr>
          <w:ilvl w:val="2"/>
          <w:numId w:val="0"/>
        </w:numPr>
        <w:jc w:val="center"/>
      </w:pPr>
      <w:r w:rsidRPr="00B85FA7">
        <w:rPr>
          <w:rFonts w:hint="eastAsia"/>
          <w:b/>
        </w:rPr>
        <w:t>第一部分《轨道站点一体化规划设计》基础资料收集清单</w:t>
      </w:r>
    </w:p>
    <w:p w:rsidR="002C72DC" w:rsidRPr="00B85FA7" w:rsidRDefault="008411D0">
      <w:pPr>
        <w:ind w:firstLine="360"/>
      </w:pPr>
      <w:r w:rsidRPr="00B85FA7">
        <w:rPr>
          <w:rFonts w:hint="eastAsia"/>
        </w:rPr>
        <w:t>《轨道站点一体化规划设计》基础资料搜集清单</w:t>
      </w:r>
      <w:bookmarkEnd w:id="104"/>
      <w:r w:rsidRPr="00B85FA7">
        <w:rPr>
          <w:rFonts w:hint="eastAsia"/>
        </w:rPr>
        <w:t>应在《轨道沿线用地调整规划》基础资料搜集清单的基础上，补充收集以下资料：</w:t>
      </w:r>
    </w:p>
    <w:p w:rsidR="002C72DC" w:rsidRPr="00B85FA7" w:rsidRDefault="008411D0" w:rsidP="00E174E9">
      <w:pPr>
        <w:pStyle w:val="15"/>
        <w:numPr>
          <w:ilvl w:val="0"/>
          <w:numId w:val="8"/>
        </w:numPr>
        <w:spacing w:line="360" w:lineRule="auto"/>
        <w:ind w:firstLineChars="0"/>
        <w:rPr>
          <w:rFonts w:cs="Times New Roman"/>
          <w:b w:val="0"/>
          <w:kern w:val="0"/>
        </w:rPr>
      </w:pPr>
      <w:r w:rsidRPr="00B85FA7">
        <w:rPr>
          <w:rFonts w:cs="Times New Roman" w:hint="eastAsia"/>
          <w:b w:val="0"/>
          <w:kern w:val="0"/>
        </w:rPr>
        <w:t>已批准的《土地使用总体规划》及规划范围内土地指标的分配情况。</w:t>
      </w:r>
    </w:p>
    <w:p w:rsidR="002C72DC" w:rsidRPr="00B85FA7" w:rsidRDefault="008411D0" w:rsidP="00E174E9">
      <w:pPr>
        <w:pStyle w:val="15"/>
        <w:numPr>
          <w:ilvl w:val="0"/>
          <w:numId w:val="8"/>
        </w:numPr>
        <w:spacing w:line="360" w:lineRule="auto"/>
        <w:ind w:firstLineChars="0"/>
        <w:rPr>
          <w:rFonts w:cs="Times New Roman"/>
          <w:b w:val="0"/>
          <w:kern w:val="0"/>
        </w:rPr>
      </w:pPr>
      <w:r w:rsidRPr="00B85FA7">
        <w:rPr>
          <w:rFonts w:cs="Times New Roman" w:hint="eastAsia"/>
          <w:b w:val="0"/>
          <w:kern w:val="0"/>
        </w:rPr>
        <w:t>正在编制的《轨道交通线路工程可行性研究》相关内容。如</w:t>
      </w:r>
      <w:r w:rsidRPr="00B85FA7">
        <w:rPr>
          <w:rFonts w:cs="Times New Roman"/>
          <w:b w:val="0"/>
          <w:kern w:val="0"/>
        </w:rPr>
        <w:t>属于</w:t>
      </w:r>
      <w:r w:rsidRPr="00B85FA7">
        <w:rPr>
          <w:rFonts w:cs="Times New Roman" w:hint="eastAsia"/>
          <w:b w:val="0"/>
          <w:kern w:val="0"/>
        </w:rPr>
        <w:t>站点周边</w:t>
      </w:r>
      <w:r w:rsidRPr="00B85FA7">
        <w:rPr>
          <w:rFonts w:cs="Times New Roman"/>
          <w:b w:val="0"/>
          <w:kern w:val="0"/>
        </w:rPr>
        <w:t>地区改造的，应收集轨道线路、站点及附属设施的现状</w:t>
      </w:r>
      <w:r w:rsidRPr="00B85FA7">
        <w:rPr>
          <w:rFonts w:cs="Times New Roman" w:hint="eastAsia"/>
          <w:b w:val="0"/>
          <w:kern w:val="0"/>
        </w:rPr>
        <w:t>相关</w:t>
      </w:r>
      <w:r w:rsidRPr="00B85FA7">
        <w:rPr>
          <w:rFonts w:cs="Times New Roman"/>
          <w:b w:val="0"/>
          <w:kern w:val="0"/>
        </w:rPr>
        <w:t>资料。</w:t>
      </w:r>
    </w:p>
    <w:p w:rsidR="002C72DC" w:rsidRPr="00B85FA7" w:rsidRDefault="008411D0" w:rsidP="00E174E9">
      <w:pPr>
        <w:pStyle w:val="15"/>
        <w:numPr>
          <w:ilvl w:val="0"/>
          <w:numId w:val="8"/>
        </w:numPr>
        <w:spacing w:line="360" w:lineRule="auto"/>
        <w:ind w:firstLineChars="0"/>
        <w:rPr>
          <w:rFonts w:cs="Times New Roman"/>
          <w:b w:val="0"/>
          <w:kern w:val="0"/>
        </w:rPr>
      </w:pPr>
      <w:r w:rsidRPr="00B85FA7">
        <w:rPr>
          <w:rFonts w:cs="Times New Roman" w:hint="eastAsia"/>
          <w:b w:val="0"/>
          <w:kern w:val="0"/>
        </w:rPr>
        <w:t>已编制完成的《轨道沿线用地调整规划》；相关片区的控制性详细规划；规划范围内已批用地的修建性详细规划；相关地区城市设计导</w:t>
      </w:r>
      <w:proofErr w:type="gramStart"/>
      <w:r w:rsidRPr="00B85FA7">
        <w:rPr>
          <w:rFonts w:cs="Times New Roman" w:hint="eastAsia"/>
          <w:b w:val="0"/>
          <w:kern w:val="0"/>
        </w:rPr>
        <w:t>则及其</w:t>
      </w:r>
      <w:proofErr w:type="gramEnd"/>
      <w:r w:rsidRPr="00B85FA7">
        <w:rPr>
          <w:rFonts w:cs="Times New Roman" w:hint="eastAsia"/>
          <w:b w:val="0"/>
          <w:kern w:val="0"/>
        </w:rPr>
        <w:t>他与规划区相关的专项规划。</w:t>
      </w:r>
    </w:p>
    <w:p w:rsidR="002C72DC" w:rsidRPr="00B85FA7" w:rsidRDefault="008411D0" w:rsidP="00E174E9">
      <w:pPr>
        <w:pStyle w:val="15"/>
        <w:numPr>
          <w:ilvl w:val="0"/>
          <w:numId w:val="8"/>
        </w:numPr>
        <w:spacing w:line="360" w:lineRule="auto"/>
        <w:ind w:firstLineChars="0"/>
        <w:rPr>
          <w:rFonts w:cs="Times New Roman"/>
          <w:b w:val="0"/>
          <w:kern w:val="0"/>
        </w:rPr>
      </w:pPr>
      <w:r w:rsidRPr="00B85FA7">
        <w:rPr>
          <w:rFonts w:cs="Times New Roman" w:hint="eastAsia"/>
          <w:b w:val="0"/>
          <w:kern w:val="0"/>
        </w:rPr>
        <w:t>城市综合交通枢纽规划、轨道交通与其他交通方式衔接的总体规划及相关站点一体化衔接设施规划等。</w:t>
      </w:r>
    </w:p>
    <w:p w:rsidR="002C72DC" w:rsidRPr="00B85FA7" w:rsidRDefault="008411D0" w:rsidP="00E174E9">
      <w:pPr>
        <w:pStyle w:val="15"/>
        <w:numPr>
          <w:ilvl w:val="0"/>
          <w:numId w:val="8"/>
        </w:numPr>
        <w:spacing w:line="360" w:lineRule="auto"/>
        <w:ind w:firstLineChars="0"/>
        <w:rPr>
          <w:rFonts w:cs="Times New Roman"/>
          <w:b w:val="0"/>
          <w:kern w:val="0"/>
        </w:rPr>
      </w:pPr>
      <w:r w:rsidRPr="00B85FA7">
        <w:rPr>
          <w:rFonts w:cs="Times New Roman" w:hint="eastAsia"/>
          <w:b w:val="0"/>
          <w:kern w:val="0"/>
        </w:rPr>
        <w:t>规划范围内的详细地形图图纸（</w:t>
      </w:r>
      <w:proofErr w:type="spellStart"/>
      <w:r w:rsidRPr="00B85FA7">
        <w:rPr>
          <w:rFonts w:cs="Times New Roman" w:hint="eastAsia"/>
          <w:b w:val="0"/>
          <w:kern w:val="0"/>
        </w:rPr>
        <w:t>dwg</w:t>
      </w:r>
      <w:proofErr w:type="spellEnd"/>
      <w:r w:rsidRPr="00B85FA7">
        <w:rPr>
          <w:rFonts w:cs="Times New Roman" w:hint="eastAsia"/>
          <w:b w:val="0"/>
          <w:kern w:val="0"/>
        </w:rPr>
        <w:t>格式，图纸比例：核心区</w:t>
      </w:r>
      <w:r w:rsidRPr="00B85FA7">
        <w:rPr>
          <w:rFonts w:cs="Times New Roman" w:hint="eastAsia"/>
          <w:b w:val="0"/>
          <w:kern w:val="0"/>
        </w:rPr>
        <w:t>1:300</w:t>
      </w:r>
      <w:r w:rsidRPr="00B85FA7">
        <w:rPr>
          <w:rFonts w:cs="Times New Roman" w:hint="eastAsia"/>
          <w:b w:val="0"/>
          <w:kern w:val="0"/>
        </w:rPr>
        <w:t>以上，影响区</w:t>
      </w:r>
      <w:r w:rsidRPr="00B85FA7">
        <w:rPr>
          <w:rFonts w:cs="Times New Roman" w:hint="eastAsia"/>
          <w:b w:val="0"/>
          <w:kern w:val="0"/>
        </w:rPr>
        <w:t>1:500</w:t>
      </w:r>
      <w:r w:rsidRPr="00B85FA7">
        <w:rPr>
          <w:rFonts w:cs="Times New Roman" w:hint="eastAsia"/>
          <w:b w:val="0"/>
          <w:kern w:val="0"/>
        </w:rPr>
        <w:t>以上），应含有道路及地块标高信息，道路断面形式等信息。</w:t>
      </w:r>
    </w:p>
    <w:p w:rsidR="002C72DC" w:rsidRPr="00B85FA7" w:rsidRDefault="008411D0" w:rsidP="00E174E9">
      <w:pPr>
        <w:pStyle w:val="15"/>
        <w:numPr>
          <w:ilvl w:val="0"/>
          <w:numId w:val="8"/>
        </w:numPr>
        <w:spacing w:line="360" w:lineRule="auto"/>
        <w:ind w:firstLineChars="0"/>
        <w:rPr>
          <w:rFonts w:cs="Times New Roman"/>
          <w:b w:val="0"/>
          <w:kern w:val="0"/>
        </w:rPr>
      </w:pPr>
      <w:r w:rsidRPr="00B85FA7">
        <w:rPr>
          <w:rFonts w:cs="Times New Roman" w:hint="eastAsia"/>
          <w:b w:val="0"/>
          <w:kern w:val="0"/>
        </w:rPr>
        <w:t>保留建筑性质、层数及坐标等详细情况。</w:t>
      </w:r>
    </w:p>
    <w:p w:rsidR="002C72DC" w:rsidRPr="00B85FA7" w:rsidRDefault="008411D0" w:rsidP="00E174E9">
      <w:pPr>
        <w:pStyle w:val="15"/>
        <w:numPr>
          <w:ilvl w:val="0"/>
          <w:numId w:val="8"/>
        </w:numPr>
        <w:spacing w:line="360" w:lineRule="auto"/>
        <w:ind w:firstLineChars="0"/>
        <w:rPr>
          <w:rFonts w:cs="Times New Roman"/>
          <w:b w:val="0"/>
          <w:kern w:val="0"/>
        </w:rPr>
      </w:pPr>
      <w:r w:rsidRPr="00B85FA7">
        <w:rPr>
          <w:rFonts w:cs="Times New Roman" w:hint="eastAsia"/>
          <w:b w:val="0"/>
          <w:kern w:val="0"/>
        </w:rPr>
        <w:t>城市国民经济和社会发展五年规划、城市商业网点布局规划、规划区房地产市场发展情况、城市地价及相关类型房地产开发成本与销售价格等。</w:t>
      </w:r>
    </w:p>
    <w:p w:rsidR="002C72DC" w:rsidRPr="00B85FA7" w:rsidRDefault="008411D0" w:rsidP="00E174E9">
      <w:pPr>
        <w:pStyle w:val="15"/>
        <w:numPr>
          <w:ilvl w:val="0"/>
          <w:numId w:val="8"/>
        </w:numPr>
        <w:spacing w:line="360" w:lineRule="auto"/>
        <w:ind w:firstLineChars="0"/>
        <w:rPr>
          <w:rFonts w:cs="Times New Roman"/>
          <w:b w:val="0"/>
          <w:kern w:val="0"/>
        </w:rPr>
      </w:pPr>
      <w:r w:rsidRPr="00B85FA7">
        <w:rPr>
          <w:rFonts w:cs="Times New Roman" w:hint="eastAsia"/>
          <w:b w:val="0"/>
          <w:kern w:val="0"/>
        </w:rPr>
        <w:t>与项目相关的地方城市规划管理技术规定、相关规划编制技术标准以及指导意见等政策法规文件。如出让地块城市设计工作暂行规定、城市设计图则技术标准等。</w:t>
      </w:r>
    </w:p>
    <w:p w:rsidR="002C72DC" w:rsidRPr="00B85FA7" w:rsidRDefault="008411D0" w:rsidP="00E174E9">
      <w:pPr>
        <w:pStyle w:val="15"/>
        <w:widowControl w:val="0"/>
        <w:numPr>
          <w:ilvl w:val="0"/>
          <w:numId w:val="8"/>
        </w:numPr>
        <w:spacing w:line="360" w:lineRule="auto"/>
        <w:ind w:left="714" w:firstLineChars="0" w:hanging="357"/>
        <w:rPr>
          <w:rFonts w:cs="Times New Roman"/>
          <w:b w:val="0"/>
          <w:kern w:val="0"/>
        </w:rPr>
      </w:pPr>
      <w:r w:rsidRPr="00B85FA7">
        <w:rPr>
          <w:rFonts w:cs="Times New Roman" w:hint="eastAsia"/>
          <w:b w:val="0"/>
          <w:kern w:val="0"/>
        </w:rPr>
        <w:t>相关市政设施现状及规划方案；人防工程及各类需保留地</w:t>
      </w:r>
      <w:proofErr w:type="gramStart"/>
      <w:r w:rsidRPr="00B85FA7">
        <w:rPr>
          <w:rFonts w:cs="Times New Roman" w:hint="eastAsia"/>
          <w:b w:val="0"/>
          <w:kern w:val="0"/>
        </w:rPr>
        <w:t>下空间</w:t>
      </w:r>
      <w:proofErr w:type="gramEnd"/>
      <w:r w:rsidRPr="00B85FA7">
        <w:rPr>
          <w:rFonts w:cs="Times New Roman" w:hint="eastAsia"/>
          <w:b w:val="0"/>
          <w:kern w:val="0"/>
        </w:rPr>
        <w:t>的设施详细情况；各类路内交通设施的位置规模及使用情况；现状各类人行地</w:t>
      </w:r>
      <w:r w:rsidRPr="00B85FA7">
        <w:rPr>
          <w:rFonts w:cs="Times New Roman" w:hint="eastAsia"/>
          <w:b w:val="0"/>
          <w:kern w:val="0"/>
        </w:rPr>
        <w:lastRenderedPageBreak/>
        <w:t>道及人行天桥的详细情况等资料。</w:t>
      </w:r>
    </w:p>
    <w:p w:rsidR="002C72DC" w:rsidRPr="00B85FA7" w:rsidRDefault="008411D0">
      <w:pPr>
        <w:pStyle w:val="31"/>
        <w:numPr>
          <w:ilvl w:val="2"/>
          <w:numId w:val="0"/>
        </w:numPr>
        <w:jc w:val="center"/>
      </w:pPr>
      <w:r w:rsidRPr="00B85FA7">
        <w:rPr>
          <w:rFonts w:hint="eastAsia"/>
          <w:b/>
        </w:rPr>
        <w:t>第二部分《轨道站点一体化规划设计》编制大纲</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综合现状分析</w:t>
      </w:r>
    </w:p>
    <w:p w:rsidR="002C72DC" w:rsidRPr="00B85FA7" w:rsidRDefault="008411D0">
      <w:pPr>
        <w:ind w:firstLine="360"/>
      </w:pPr>
      <w:r w:rsidRPr="00B85FA7">
        <w:rPr>
          <w:rFonts w:hint="eastAsia"/>
        </w:rPr>
        <w:t>应包括规划背景介绍、城市背景介绍、规划区位、规划范围、轨道交通规划建设情况等内容，并对规划范围内现状土地使用性质、权属情况、建筑质量、土地收储情况、潜力地块分布情况、已批建设项目情况、道路及交通设施情况、重要市政设施等情况进行分析。</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上位规划及相关规划解读</w:t>
      </w:r>
    </w:p>
    <w:p w:rsidR="002C72DC" w:rsidRPr="00B85FA7" w:rsidRDefault="008411D0">
      <w:pPr>
        <w:ind w:firstLine="360"/>
      </w:pPr>
      <w:r w:rsidRPr="00B85FA7">
        <w:rPr>
          <w:rFonts w:hint="eastAsia"/>
        </w:rPr>
        <w:t>应对本规划的上位规划——《轨道沿线用地调整规划》的要求与实施情况进行评价与反馈。</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规划</w:t>
      </w:r>
      <w:proofErr w:type="gramStart"/>
      <w:r w:rsidRPr="00B85FA7">
        <w:rPr>
          <w:rFonts w:hint="eastAsia"/>
          <w:b w:val="0"/>
          <w:szCs w:val="24"/>
        </w:rPr>
        <w:t>定位及业态</w:t>
      </w:r>
      <w:proofErr w:type="gramEnd"/>
      <w:r w:rsidRPr="00B85FA7">
        <w:rPr>
          <w:rFonts w:hint="eastAsia"/>
          <w:b w:val="0"/>
          <w:szCs w:val="24"/>
        </w:rPr>
        <w:t>发展策划</w:t>
      </w:r>
    </w:p>
    <w:p w:rsidR="002C72DC" w:rsidRPr="00B85FA7" w:rsidRDefault="008411D0">
      <w:pPr>
        <w:ind w:firstLine="360"/>
      </w:pPr>
      <w:r w:rsidRPr="00B85FA7">
        <w:rPr>
          <w:rFonts w:hint="eastAsia"/>
        </w:rPr>
        <w:t>在对城市相关发展背景及规划进行解读的基础上，结合轨道交通建设投融资机制，对规划区内可能发展的商业服务业类型进行市场研究及投资收益测算，明确规划站点的业态发展内涵及各类商业</w:t>
      </w:r>
      <w:proofErr w:type="gramStart"/>
      <w:r w:rsidRPr="00B85FA7">
        <w:rPr>
          <w:rFonts w:hint="eastAsia"/>
        </w:rPr>
        <w:t>业</w:t>
      </w:r>
      <w:proofErr w:type="gramEnd"/>
      <w:r w:rsidRPr="00B85FA7">
        <w:rPr>
          <w:rFonts w:hint="eastAsia"/>
        </w:rPr>
        <w:t>态的功能规模和构成比例。</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规划构思与设计理念</w:t>
      </w:r>
    </w:p>
    <w:p w:rsidR="002C72DC" w:rsidRPr="00B85FA7" w:rsidRDefault="008411D0">
      <w:pPr>
        <w:ind w:firstLine="360"/>
      </w:pPr>
      <w:r w:rsidRPr="00B85FA7">
        <w:rPr>
          <w:rFonts w:hint="eastAsia"/>
        </w:rPr>
        <w:t>结合规划定位提出规划构思与设计理念。</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规划结构与功能布局</w:t>
      </w:r>
    </w:p>
    <w:p w:rsidR="002C72DC" w:rsidRPr="00B85FA7" w:rsidRDefault="008411D0">
      <w:pPr>
        <w:ind w:firstLine="360"/>
      </w:pPr>
      <w:r w:rsidRPr="00B85FA7">
        <w:rPr>
          <w:rFonts w:hint="eastAsia"/>
        </w:rPr>
        <w:t>明确规划区中的功能结构、公共空间结构与景观结构，对规划区内的各项功能进行安排，明确各项功能的建设规模。</w:t>
      </w:r>
    </w:p>
    <w:p w:rsidR="002C72DC" w:rsidRPr="00B85FA7" w:rsidRDefault="008411D0">
      <w:pPr>
        <w:ind w:firstLine="360"/>
      </w:pPr>
      <w:r w:rsidRPr="00B85FA7">
        <w:rPr>
          <w:rFonts w:hint="eastAsia"/>
        </w:rPr>
        <w:t>通过各层总平面，</w:t>
      </w:r>
      <w:proofErr w:type="gramStart"/>
      <w:r w:rsidRPr="00B85FA7">
        <w:rPr>
          <w:rFonts w:hint="eastAsia"/>
        </w:rPr>
        <w:t>详细落实</w:t>
      </w:r>
      <w:proofErr w:type="gramEnd"/>
      <w:r w:rsidRPr="00B85FA7">
        <w:rPr>
          <w:rFonts w:hint="eastAsia"/>
        </w:rPr>
        <w:t>各功能空间的位置和范围、落实不同产权单位的权属边界和管理边界。</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建设强度与交通容量校核</w:t>
      </w:r>
    </w:p>
    <w:p w:rsidR="002C72DC" w:rsidRPr="00B85FA7" w:rsidRDefault="008411D0">
      <w:pPr>
        <w:ind w:firstLine="360"/>
      </w:pPr>
      <w:r w:rsidRPr="00B85FA7">
        <w:rPr>
          <w:rFonts w:hint="eastAsia"/>
        </w:rPr>
        <w:t>对规划区内的各类交通需求及交通承载力进行测算，根据片区交通影响评价结果校核并明确建设强度。</w:t>
      </w:r>
    </w:p>
    <w:p w:rsidR="002C72DC" w:rsidRPr="00B85FA7" w:rsidRDefault="00945955" w:rsidP="00E174E9">
      <w:pPr>
        <w:pStyle w:val="15"/>
        <w:numPr>
          <w:ilvl w:val="0"/>
          <w:numId w:val="9"/>
        </w:numPr>
        <w:spacing w:line="360" w:lineRule="auto"/>
        <w:ind w:firstLineChars="0"/>
        <w:rPr>
          <w:b w:val="0"/>
          <w:szCs w:val="24"/>
        </w:rPr>
      </w:pPr>
      <w:r w:rsidRPr="00B85FA7">
        <w:rPr>
          <w:rFonts w:hint="eastAsia"/>
          <w:b w:val="0"/>
          <w:szCs w:val="24"/>
        </w:rPr>
        <w:lastRenderedPageBreak/>
        <w:t>交通衔接</w:t>
      </w:r>
      <w:r w:rsidR="008411D0" w:rsidRPr="00B85FA7">
        <w:rPr>
          <w:rFonts w:hint="eastAsia"/>
          <w:b w:val="0"/>
          <w:szCs w:val="24"/>
        </w:rPr>
        <w:t>设计及交通改善</w:t>
      </w:r>
    </w:p>
    <w:p w:rsidR="002C72DC" w:rsidRPr="00B85FA7" w:rsidRDefault="008411D0">
      <w:pPr>
        <w:ind w:firstLine="360"/>
      </w:pPr>
      <w:r w:rsidRPr="00B85FA7">
        <w:rPr>
          <w:rFonts w:hint="eastAsia"/>
        </w:rPr>
        <w:t>落实各类轨道交通换乘设施（含路内设施）的功能布局，设计详细的流线组织方案，详细安排与机动车流线、自行车流线及人行流线相关的通道、换乘厅、广场等设施。详细安排</w:t>
      </w:r>
      <w:r w:rsidR="009364ED" w:rsidRPr="00B85FA7">
        <w:rPr>
          <w:rFonts w:hint="eastAsia"/>
        </w:rPr>
        <w:t>机动车出</w:t>
      </w:r>
      <w:r w:rsidRPr="00B85FA7">
        <w:rPr>
          <w:rFonts w:hint="eastAsia"/>
        </w:rPr>
        <w:t>入口的位置与设置方式。</w:t>
      </w:r>
    </w:p>
    <w:p w:rsidR="002C72DC" w:rsidRPr="00B85FA7" w:rsidRDefault="008411D0">
      <w:pPr>
        <w:ind w:firstLine="360"/>
      </w:pPr>
      <w:r w:rsidRPr="00B85FA7">
        <w:rPr>
          <w:rFonts w:hint="eastAsia"/>
        </w:rPr>
        <w:t>对城市道路系统的现状与规划方案进行校核并提出改善方案、对交通换乘设施及步行空间的规模进行校核并提</w:t>
      </w:r>
      <w:r w:rsidR="00945955" w:rsidRPr="00B85FA7">
        <w:rPr>
          <w:rFonts w:hint="eastAsia"/>
        </w:rPr>
        <w:t>出改善方案。详细表达规划区内各道路断面、交叉口型式</w:t>
      </w:r>
      <w:r w:rsidRPr="00B85FA7">
        <w:rPr>
          <w:rFonts w:hint="eastAsia"/>
        </w:rPr>
        <w:t>、人行过街通道、公交站台、临时停车位及出租汽车停车位的安排方式。</w:t>
      </w:r>
    </w:p>
    <w:p w:rsidR="002C72DC" w:rsidRPr="00B85FA7" w:rsidRDefault="00442F3D" w:rsidP="00E174E9">
      <w:pPr>
        <w:pStyle w:val="15"/>
        <w:numPr>
          <w:ilvl w:val="0"/>
          <w:numId w:val="9"/>
        </w:numPr>
        <w:spacing w:line="360" w:lineRule="auto"/>
        <w:ind w:firstLineChars="0"/>
        <w:rPr>
          <w:b w:val="0"/>
          <w:szCs w:val="24"/>
        </w:rPr>
      </w:pPr>
      <w:r w:rsidRPr="00B85FA7">
        <w:rPr>
          <w:rFonts w:hint="eastAsia"/>
          <w:b w:val="0"/>
          <w:szCs w:val="24"/>
        </w:rPr>
        <w:t>步行空间</w:t>
      </w:r>
      <w:r w:rsidR="008411D0" w:rsidRPr="00B85FA7">
        <w:rPr>
          <w:rFonts w:hint="eastAsia"/>
          <w:b w:val="0"/>
          <w:szCs w:val="24"/>
        </w:rPr>
        <w:t>设计</w:t>
      </w:r>
    </w:p>
    <w:p w:rsidR="002C72DC" w:rsidRPr="00B85FA7" w:rsidRDefault="00442F3D">
      <w:pPr>
        <w:ind w:firstLine="360"/>
      </w:pPr>
      <w:proofErr w:type="gramStart"/>
      <w:r w:rsidRPr="00B85FA7">
        <w:rPr>
          <w:rFonts w:hint="eastAsia"/>
        </w:rPr>
        <w:t>详细落实</w:t>
      </w:r>
      <w:proofErr w:type="gramEnd"/>
      <w:r w:rsidRPr="00B85FA7">
        <w:rPr>
          <w:rFonts w:hint="eastAsia"/>
        </w:rPr>
        <w:t>规划区内各类步行空间的设置位置与设置形式，并</w:t>
      </w:r>
      <w:r w:rsidR="008411D0" w:rsidRPr="00B85FA7">
        <w:rPr>
          <w:rFonts w:hint="eastAsia"/>
        </w:rPr>
        <w:t>对步行空间的立体衔接方式做出详细设计。</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站点出入口衔接设计</w:t>
      </w:r>
    </w:p>
    <w:p w:rsidR="002C72DC" w:rsidRPr="00B85FA7" w:rsidRDefault="008411D0">
      <w:pPr>
        <w:ind w:firstLine="360"/>
      </w:pPr>
      <w:proofErr w:type="gramStart"/>
      <w:r w:rsidRPr="00B85FA7">
        <w:rPr>
          <w:rFonts w:hint="eastAsia"/>
        </w:rPr>
        <w:t>详细落实</w:t>
      </w:r>
      <w:proofErr w:type="gramEnd"/>
      <w:r w:rsidRPr="00B85FA7">
        <w:rPr>
          <w:rFonts w:hint="eastAsia"/>
        </w:rPr>
        <w:t>规划区内轨道站点出入口的设置位置与设置形式。</w:t>
      </w:r>
    </w:p>
    <w:p w:rsidR="00442F3D" w:rsidRPr="007C0E36" w:rsidRDefault="00442F3D" w:rsidP="007C0E36">
      <w:pPr>
        <w:pStyle w:val="15"/>
        <w:numPr>
          <w:ilvl w:val="0"/>
          <w:numId w:val="9"/>
        </w:numPr>
        <w:spacing w:line="360" w:lineRule="auto"/>
        <w:ind w:firstLineChars="0"/>
        <w:rPr>
          <w:b w:val="0"/>
          <w:szCs w:val="24"/>
        </w:rPr>
      </w:pPr>
      <w:r w:rsidRPr="007C0E36">
        <w:rPr>
          <w:rFonts w:hint="eastAsia"/>
          <w:b w:val="0"/>
          <w:szCs w:val="24"/>
        </w:rPr>
        <w:t>地块控制引导</w:t>
      </w:r>
    </w:p>
    <w:p w:rsidR="00442F3D" w:rsidRPr="00B85FA7" w:rsidRDefault="00442F3D" w:rsidP="00442F3D">
      <w:pPr>
        <w:ind w:firstLine="360"/>
      </w:pPr>
      <w:r w:rsidRPr="00B85FA7">
        <w:rPr>
          <w:rFonts w:hint="eastAsia"/>
        </w:rPr>
        <w:t>对各功能空间的立体衔接关系进行详细设计，并通过剖面图、节点剖面图及剖面效果图等形式予以表达。</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城市设计概念方案</w:t>
      </w:r>
    </w:p>
    <w:p w:rsidR="002C72DC" w:rsidRPr="00B85FA7" w:rsidRDefault="008411D0">
      <w:pPr>
        <w:ind w:firstLine="360"/>
      </w:pPr>
      <w:r w:rsidRPr="00B85FA7">
        <w:rPr>
          <w:rFonts w:hint="eastAsia"/>
        </w:rPr>
        <w:t>对规划区内的建筑形态及景观环境设计提出概念性方案。包括建筑风貌、公共空间景观印象和天际轮廓线等，通过整体或局部效果图予以表达。</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城市设计控制要素</w:t>
      </w:r>
    </w:p>
    <w:p w:rsidR="002C72DC" w:rsidRPr="00B85FA7" w:rsidRDefault="008411D0">
      <w:pPr>
        <w:ind w:firstLine="360"/>
      </w:pPr>
      <w:r w:rsidRPr="00B85FA7">
        <w:rPr>
          <w:rFonts w:hint="eastAsia"/>
        </w:rPr>
        <w:t>明确规划区内城市公共空间的结构、规模、位置与控制要求；明确建筑退红线距离、建筑</w:t>
      </w:r>
      <w:proofErr w:type="gramStart"/>
      <w:r w:rsidRPr="00B85FA7">
        <w:rPr>
          <w:rFonts w:hint="eastAsia"/>
        </w:rPr>
        <w:t>贴线率</w:t>
      </w:r>
      <w:proofErr w:type="gramEnd"/>
      <w:r w:rsidRPr="00B85FA7">
        <w:rPr>
          <w:rFonts w:hint="eastAsia"/>
        </w:rPr>
        <w:t>、街墙控制等；对高层塔楼的位置与高度提出控制建议，对裙房的体量及高度提出控制建议。</w:t>
      </w:r>
    </w:p>
    <w:p w:rsidR="002C72DC" w:rsidRPr="00B85FA7" w:rsidRDefault="008411D0" w:rsidP="00E174E9">
      <w:pPr>
        <w:pStyle w:val="15"/>
        <w:widowControl w:val="0"/>
        <w:numPr>
          <w:ilvl w:val="0"/>
          <w:numId w:val="9"/>
        </w:numPr>
        <w:spacing w:line="360" w:lineRule="auto"/>
        <w:ind w:firstLineChars="0"/>
        <w:rPr>
          <w:b w:val="0"/>
          <w:szCs w:val="24"/>
        </w:rPr>
      </w:pPr>
      <w:r w:rsidRPr="00B85FA7">
        <w:rPr>
          <w:rFonts w:hint="eastAsia"/>
          <w:b w:val="0"/>
          <w:szCs w:val="24"/>
        </w:rPr>
        <w:t>市政设施规划</w:t>
      </w:r>
    </w:p>
    <w:p w:rsidR="002C72DC" w:rsidRPr="00B85FA7" w:rsidRDefault="008411D0">
      <w:pPr>
        <w:widowControl w:val="0"/>
        <w:ind w:firstLine="360"/>
      </w:pPr>
      <w:r w:rsidRPr="00B85FA7">
        <w:rPr>
          <w:rFonts w:hint="eastAsia"/>
        </w:rPr>
        <w:t>明确规划区内与轨道相关的市政设施如综合管廊等的位置、规模和布局。</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lastRenderedPageBreak/>
        <w:t>与《轨道交通工程可行性研究》的衔接</w:t>
      </w:r>
    </w:p>
    <w:p w:rsidR="002C72DC" w:rsidRPr="00B85FA7" w:rsidRDefault="008411D0" w:rsidP="00C63E80">
      <w:pPr>
        <w:widowControl w:val="0"/>
        <w:ind w:firstLine="360"/>
      </w:pPr>
      <w:r w:rsidRPr="00B85FA7">
        <w:rPr>
          <w:rFonts w:hint="eastAsia"/>
        </w:rPr>
        <w:t>对轨道交通工程可行性研究中的相关内容进行校核，落实各项轨道交通工程相关设施的布局。</w:t>
      </w:r>
    </w:p>
    <w:p w:rsidR="002C72DC" w:rsidRPr="00B85FA7" w:rsidRDefault="008411D0" w:rsidP="00E174E9">
      <w:pPr>
        <w:pStyle w:val="15"/>
        <w:numPr>
          <w:ilvl w:val="0"/>
          <w:numId w:val="9"/>
        </w:numPr>
        <w:spacing w:line="360" w:lineRule="auto"/>
        <w:ind w:firstLineChars="0"/>
        <w:rPr>
          <w:b w:val="0"/>
          <w:szCs w:val="24"/>
        </w:rPr>
      </w:pPr>
      <w:r w:rsidRPr="00B85FA7">
        <w:rPr>
          <w:rFonts w:hint="eastAsia"/>
          <w:b w:val="0"/>
          <w:szCs w:val="24"/>
        </w:rPr>
        <w:t>控制导则</w:t>
      </w:r>
    </w:p>
    <w:p w:rsidR="002C72DC" w:rsidRPr="00B85FA7" w:rsidRDefault="008411D0">
      <w:pPr>
        <w:ind w:firstLine="360"/>
      </w:pPr>
      <w:r w:rsidRPr="00B85FA7">
        <w:rPr>
          <w:rFonts w:hint="eastAsia"/>
        </w:rPr>
        <w:t>通过文字与图则形式明确轨道相关设施、公共设施、交通换乘设施（含路内设施）、市政基础设施的位置、布局和控制条件；明确步行系统与公共空间的控制条件，明确道路断面、交叉口等设施的设置规定及地块停车出入口、辅助出入口的位置和设置条件等，纳入相关片区的控制性详细规划并作为土地出让时的附加条件。</w:t>
      </w:r>
    </w:p>
    <w:p w:rsidR="002C72DC" w:rsidRPr="00B85FA7" w:rsidRDefault="008411D0">
      <w:pPr>
        <w:pStyle w:val="31"/>
        <w:numPr>
          <w:ilvl w:val="2"/>
          <w:numId w:val="0"/>
        </w:numPr>
        <w:jc w:val="center"/>
      </w:pPr>
      <w:r w:rsidRPr="00B85FA7">
        <w:rPr>
          <w:rFonts w:hint="eastAsia"/>
          <w:b/>
        </w:rPr>
        <w:t>第三部分《轨道站点一体化规划设计》</w:t>
      </w:r>
      <w:r w:rsidR="00343010" w:rsidRPr="00B85FA7">
        <w:rPr>
          <w:rFonts w:hint="eastAsia"/>
          <w:b/>
        </w:rPr>
        <w:t>重要图纸</w:t>
      </w:r>
    </w:p>
    <w:p w:rsidR="00343010" w:rsidRPr="00B85FA7" w:rsidRDefault="00343010" w:rsidP="00343010">
      <w:pPr>
        <w:ind w:firstLine="360"/>
      </w:pPr>
      <w:r w:rsidRPr="00B85FA7">
        <w:rPr>
          <w:rFonts w:hint="eastAsia"/>
        </w:rPr>
        <w:t>工作底图比例宜为</w:t>
      </w:r>
      <w:r w:rsidRPr="00B85FA7">
        <w:rPr>
          <w:rFonts w:hint="eastAsia"/>
        </w:rPr>
        <w:t>1:500</w:t>
      </w:r>
      <w:r w:rsidRPr="00B85FA7">
        <w:rPr>
          <w:rFonts w:hint="eastAsia"/>
        </w:rPr>
        <w:t>。</w:t>
      </w:r>
    </w:p>
    <w:p w:rsidR="00343010" w:rsidRPr="00343010" w:rsidRDefault="008411D0" w:rsidP="00343010">
      <w:pPr>
        <w:ind w:firstLine="360"/>
      </w:pPr>
      <w:r w:rsidRPr="00B85FA7">
        <w:rPr>
          <w:rFonts w:hint="eastAsia"/>
        </w:rPr>
        <w:t>包括总平面图、分层平面图、功能剖面图、</w:t>
      </w:r>
      <w:r w:rsidR="00343010" w:rsidRPr="00B85FA7">
        <w:rPr>
          <w:rFonts w:hint="eastAsia"/>
        </w:rPr>
        <w:t>建筑高度控制图、</w:t>
      </w:r>
      <w:r w:rsidR="00945955" w:rsidRPr="00B85FA7">
        <w:rPr>
          <w:rFonts w:hint="eastAsia"/>
        </w:rPr>
        <w:t>交通设施规划图、</w:t>
      </w:r>
      <w:r w:rsidR="009364ED" w:rsidRPr="00B85FA7">
        <w:rPr>
          <w:rFonts w:hint="eastAsia"/>
        </w:rPr>
        <w:t>交通流线组织图、步行</w:t>
      </w:r>
      <w:r w:rsidR="007E2B81" w:rsidRPr="00B85FA7">
        <w:rPr>
          <w:rFonts w:hint="eastAsia"/>
        </w:rPr>
        <w:t>空间</w:t>
      </w:r>
      <w:r w:rsidR="00A10A0A" w:rsidRPr="00B85FA7">
        <w:rPr>
          <w:rFonts w:hint="eastAsia"/>
        </w:rPr>
        <w:t>规划设计</w:t>
      </w:r>
      <w:r w:rsidRPr="00B85FA7">
        <w:rPr>
          <w:rFonts w:hint="eastAsia"/>
        </w:rPr>
        <w:t>图、</w:t>
      </w:r>
      <w:r w:rsidR="007E2B81" w:rsidRPr="00B85FA7">
        <w:rPr>
          <w:rFonts w:hint="eastAsia"/>
        </w:rPr>
        <w:t>人行流线组织图、</w:t>
      </w:r>
      <w:r w:rsidR="00945955" w:rsidRPr="00B85FA7">
        <w:rPr>
          <w:rFonts w:hint="eastAsia"/>
        </w:rPr>
        <w:t>出入口衔接设计图、</w:t>
      </w:r>
      <w:r w:rsidR="00A10A0A" w:rsidRPr="00B85FA7">
        <w:rPr>
          <w:rFonts w:hint="eastAsia"/>
        </w:rPr>
        <w:t>地下空间利用规划图、</w:t>
      </w:r>
      <w:r w:rsidRPr="00B85FA7">
        <w:rPr>
          <w:rFonts w:hint="eastAsia"/>
        </w:rPr>
        <w:t>一体化设计</w:t>
      </w:r>
      <w:r w:rsidR="007E2B81" w:rsidRPr="00B85FA7">
        <w:rPr>
          <w:rFonts w:hint="eastAsia"/>
        </w:rPr>
        <w:t>剖面</w:t>
      </w:r>
      <w:r w:rsidRPr="00B85FA7">
        <w:rPr>
          <w:rFonts w:hint="eastAsia"/>
        </w:rPr>
        <w:t>效果图、</w:t>
      </w:r>
      <w:r w:rsidR="00A10A0A" w:rsidRPr="00B85FA7">
        <w:rPr>
          <w:rFonts w:hint="eastAsia"/>
        </w:rPr>
        <w:t>控</w:t>
      </w:r>
      <w:proofErr w:type="gramStart"/>
      <w:r w:rsidR="00A10A0A" w:rsidRPr="00B85FA7">
        <w:rPr>
          <w:rFonts w:hint="eastAsia"/>
        </w:rPr>
        <w:t>规</w:t>
      </w:r>
      <w:proofErr w:type="gramEnd"/>
      <w:r w:rsidR="00A10A0A" w:rsidRPr="00B85FA7">
        <w:rPr>
          <w:rFonts w:hint="eastAsia"/>
        </w:rPr>
        <w:t>附加条件引导图</w:t>
      </w:r>
      <w:r w:rsidRPr="00B85FA7">
        <w:rPr>
          <w:rFonts w:hint="eastAsia"/>
        </w:rPr>
        <w:t>等。</w:t>
      </w:r>
    </w:p>
    <w:p w:rsidR="002C72DC" w:rsidRDefault="002C72DC" w:rsidP="00C63E80">
      <w:pPr>
        <w:widowControl w:val="0"/>
        <w:ind w:firstLine="360"/>
      </w:pPr>
    </w:p>
    <w:p w:rsidR="002C72DC" w:rsidRPr="00945955" w:rsidRDefault="002C72DC">
      <w:pPr>
        <w:pStyle w:val="af3"/>
        <w:ind w:left="840" w:firstLineChars="0" w:firstLine="0"/>
        <w:rPr>
          <w:rFonts w:cs="Times New Roman"/>
          <w:b w:val="0"/>
          <w:kern w:val="0"/>
        </w:rPr>
      </w:pPr>
    </w:p>
    <w:sectPr w:rsidR="002C72DC" w:rsidRPr="00945955" w:rsidSect="00835B64">
      <w:footerReference w:type="default" r:id="rId73"/>
      <w:pgSz w:w="11906" w:h="16838"/>
      <w:pgMar w:top="1440" w:right="1800" w:bottom="1440" w:left="1843" w:header="851" w:footer="992" w:gutter="0"/>
      <w:cols w:space="720"/>
      <w:docGrid w:type="lines" w:linePitch="312"/>
    </w:sectPr>
  </w:body>
</w:document>
</file>

<file path=word/customizations.xml><?xml version="1.0" encoding="utf-8"?>
<wne:tcg xmlns:r="http://schemas.openxmlformats.org/officeDocument/2006/relationships" xmlns:wne="http://schemas.microsoft.com/office/word/2006/wordml">
  <wne:keymaps>
    <wne:keymap wne:kcmPrimary="0233">
      <wne:acd wne:acdName="acd0"/>
    </wne:keymap>
    <wne:keymap wne:kcmPrimary="0234">
      <wne:acd wne:acdName="acd1"/>
    </wne:keymap>
    <wne:keymap wne:kcmPrimary="0235">
      <wne:acd wne:acdName="acd2"/>
    </wne:keymap>
    <wne:keymap wne:kcmPrimary="0236">
      <wne:acd wne:acdName="acd3"/>
    </wne:keymap>
  </wne:keymaps>
  <wne:toolbars>
    <wne:acdManifest>
      <wne:acdEntry wne:acdName="acd0"/>
      <wne:acdEntry wne:acdName="acd1"/>
      <wne:acdEntry wne:acdName="acd2"/>
      <wne:acdEntry wne:acdName="acd3"/>
    </wne:acdManifest>
  </wne:toolbars>
  <wne:acds>
    <wne:acd wne:argValue="AgAHaJiYIAAzADEA" wne:acdName="acd0" wne:fciIndexBasedOn="0065"/>
    <wne:acd wne:argValue="AQAAAAQA" wne:acdName="acd1" wne:fciIndexBasedOn="0065"/>
    <wne:acd wne:argValue="AgAHaJiYNQCwZQ==" wne:acdName="acd2" wne:fciIndexBasedOn="0065"/>
    <wne:acd wne:argValue="AgD+Vo9e91M=" wne:acdName="acd3"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3876" w:rsidRDefault="00533876" w:rsidP="00B92CC3">
      <w:pPr>
        <w:spacing w:before="0" w:after="0" w:line="240" w:lineRule="auto"/>
        <w:ind w:firstLine="360"/>
      </w:pPr>
      <w:r>
        <w:separator/>
      </w:r>
    </w:p>
  </w:endnote>
  <w:endnote w:type="continuationSeparator" w:id="0">
    <w:p w:rsidR="00533876" w:rsidRDefault="00533876" w:rsidP="00B92CC3">
      <w:pPr>
        <w:spacing w:before="0" w:after="0" w:line="240" w:lineRule="auto"/>
        <w:ind w:firstLine="3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仿宋_GB2312">
    <w:altName w:val="仿宋"/>
    <w:charset w:val="86"/>
    <w:family w:val="modern"/>
    <w:pitch w:val="fixed"/>
    <w:sig w:usb0="00000001" w:usb1="080E0000" w:usb2="00000010" w:usb3="00000000" w:csb0="00040000" w:csb1="00000000"/>
  </w:font>
  <w:font w:name="方正姚体">
    <w:panose1 w:val="02010601030101010101"/>
    <w:charset w:val="86"/>
    <w:family w:val="auto"/>
    <w:pitch w:val="variable"/>
    <w:sig w:usb0="00000003"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variable"/>
    <w:sig w:usb0="20002A87" w:usb1="00000000" w:usb2="00000000" w:usb3="00000000" w:csb0="000001F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260" w:rsidRDefault="000B5260">
    <w:pPr>
      <w:pStyle w:val="ab"/>
      <w:ind w:firstLine="27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260" w:rsidRDefault="000B5260">
    <w:pPr>
      <w:pStyle w:val="ab"/>
      <w:ind w:firstLine="270"/>
      <w:jc w:val="center"/>
    </w:pPr>
  </w:p>
  <w:p w:rsidR="000B5260" w:rsidRDefault="000B5260">
    <w:pPr>
      <w:pStyle w:val="ab"/>
      <w:ind w:firstLine="27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260" w:rsidRDefault="000B5260">
    <w:pPr>
      <w:pStyle w:val="ab"/>
      <w:ind w:firstLine="27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260" w:rsidRDefault="000B5260">
    <w:pPr>
      <w:pStyle w:val="ab"/>
      <w:ind w:firstLine="270"/>
      <w:jc w:val="center"/>
    </w:pPr>
    <w:r>
      <w:fldChar w:fldCharType="begin"/>
    </w:r>
    <w:r>
      <w:instrText>PAGE   \* MERGEFORMAT</w:instrText>
    </w:r>
    <w:r>
      <w:fldChar w:fldCharType="separate"/>
    </w:r>
    <w:r w:rsidR="001364D6" w:rsidRPr="001364D6">
      <w:rPr>
        <w:noProof/>
        <w:lang w:val="zh-CN"/>
      </w:rPr>
      <w:t>II</w:t>
    </w:r>
    <w:r>
      <w:rPr>
        <w:lang w:val="zh-CN"/>
      </w:rPr>
      <w:fldChar w:fldCharType="end"/>
    </w:r>
  </w:p>
  <w:p w:rsidR="000B5260" w:rsidRDefault="000B5260">
    <w:pPr>
      <w:pStyle w:val="ab"/>
      <w:ind w:firstLine="27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260" w:rsidRDefault="000B5260">
    <w:pPr>
      <w:pStyle w:val="ab"/>
      <w:ind w:firstLine="270"/>
      <w:jc w:val="center"/>
    </w:pPr>
    <w:r>
      <w:fldChar w:fldCharType="begin"/>
    </w:r>
    <w:r>
      <w:instrText>PAGE   \* MERGEFORMAT</w:instrText>
    </w:r>
    <w:r>
      <w:fldChar w:fldCharType="separate"/>
    </w:r>
    <w:r w:rsidR="002A4C4D" w:rsidRPr="002A4C4D">
      <w:rPr>
        <w:noProof/>
        <w:lang w:val="zh-CN"/>
      </w:rPr>
      <w:t>37</w:t>
    </w:r>
    <w:r>
      <w:rPr>
        <w:lang w:val="zh-CN"/>
      </w:rPr>
      <w:fldChar w:fldCharType="end"/>
    </w:r>
  </w:p>
  <w:p w:rsidR="000B5260" w:rsidRDefault="000B5260">
    <w:pPr>
      <w:pStyle w:val="ab"/>
      <w:ind w:firstLine="27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260" w:rsidRDefault="000B5260">
    <w:pPr>
      <w:pStyle w:val="ab"/>
      <w:ind w:firstLine="270"/>
      <w:jc w:val="center"/>
    </w:pPr>
    <w:r>
      <w:fldChar w:fldCharType="begin"/>
    </w:r>
    <w:r>
      <w:instrText>PAGE   \* MERGEFORMAT</w:instrText>
    </w:r>
    <w:r>
      <w:fldChar w:fldCharType="separate"/>
    </w:r>
    <w:r w:rsidR="001364D6" w:rsidRPr="001364D6">
      <w:rPr>
        <w:noProof/>
        <w:lang w:val="zh-CN"/>
      </w:rPr>
      <w:t>57</w:t>
    </w:r>
    <w:r>
      <w:rPr>
        <w:lang w:val="zh-CN"/>
      </w:rPr>
      <w:fldChar w:fldCharType="end"/>
    </w:r>
  </w:p>
  <w:p w:rsidR="000B5260" w:rsidRDefault="000B5260">
    <w:pPr>
      <w:pStyle w:val="ab"/>
      <w:ind w:firstLine="270"/>
    </w:pPr>
  </w:p>
  <w:p w:rsidR="000B5260" w:rsidRDefault="000B5260">
    <w:pPr>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3876" w:rsidRDefault="00533876" w:rsidP="00B92CC3">
      <w:pPr>
        <w:spacing w:before="0" w:after="0" w:line="240" w:lineRule="auto"/>
        <w:ind w:firstLine="360"/>
      </w:pPr>
      <w:r>
        <w:separator/>
      </w:r>
    </w:p>
  </w:footnote>
  <w:footnote w:type="continuationSeparator" w:id="0">
    <w:p w:rsidR="00533876" w:rsidRDefault="00533876" w:rsidP="00B92CC3">
      <w:pPr>
        <w:spacing w:before="0" w:after="0" w:line="240" w:lineRule="auto"/>
        <w:ind w:firstLine="3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260" w:rsidRDefault="000B5260">
    <w:pPr>
      <w:pStyle w:val="ac"/>
      <w:ind w:firstLine="27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260" w:rsidRDefault="000B5260">
    <w:pPr>
      <w:pStyle w:val="ac"/>
      <w:pBdr>
        <w:bottom w:val="none" w:sz="0" w:space="0" w:color="auto"/>
      </w:pBdr>
      <w:ind w:firstLine="27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260" w:rsidRDefault="000B5260">
    <w:pPr>
      <w:pStyle w:val="ac"/>
      <w:ind w:firstLine="27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D"/>
    <w:multiLevelType w:val="multilevel"/>
    <w:tmpl w:val="0000001D"/>
    <w:lvl w:ilvl="0" w:tentative="1">
      <w:start w:val="1"/>
      <w:numFmt w:val="decimal"/>
      <w:lvlText w:val="%1"/>
      <w:lvlJc w:val="left"/>
      <w:pPr>
        <w:ind w:left="0" w:firstLine="0"/>
      </w:pPr>
      <w:rPr>
        <w:rFonts w:ascii="宋体" w:eastAsia="宋体" w:hAnsi="宋体" w:hint="eastAsia"/>
      </w:rPr>
    </w:lvl>
    <w:lvl w:ilvl="1" w:tentative="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ascii="Times New Roman" w:eastAsia="宋体" w:hAnsi="Times New Roman" w:hint="default"/>
        <w:b w:val="0"/>
        <w:color w:val="auto"/>
        <w:sz w:val="24"/>
      </w:rPr>
    </w:lvl>
    <w:lvl w:ilvl="3" w:tentative="1">
      <w:start w:val="1"/>
      <w:numFmt w:val="decimal"/>
      <w:suff w:val="space"/>
      <w:lvlText w:val="%4"/>
      <w:lvlJc w:val="left"/>
      <w:pPr>
        <w:ind w:left="0" w:firstLine="0"/>
      </w:pPr>
      <w:rPr>
        <w:rFonts w:ascii="Times New Roman" w:hAnsi="Times New Roman" w:cs="Times New Roman" w:hint="default"/>
        <w:color w:val="auto"/>
        <w:sz w:val="28"/>
        <w:szCs w:val="28"/>
      </w:rPr>
    </w:lvl>
    <w:lvl w:ilvl="4" w:tentative="1">
      <w:start w:val="1"/>
      <w:numFmt w:val="decimal"/>
      <w:lvlText w:val="表2.%5"/>
      <w:lvlJc w:val="center"/>
      <w:pPr>
        <w:tabs>
          <w:tab w:val="left" w:pos="2411"/>
        </w:tabs>
        <w:ind w:left="0" w:firstLine="0"/>
      </w:pPr>
      <w:rPr>
        <w:rFonts w:hint="eastAsia"/>
      </w:rPr>
    </w:lvl>
    <w:lvl w:ilvl="5" w:tentative="1">
      <w:start w:val="1"/>
      <w:numFmt w:val="decimal"/>
      <w:lvlRestart w:val="1"/>
      <w:isLgl/>
      <w:lvlText w:val="图%1.%2.%6"/>
      <w:lvlJc w:val="center"/>
      <w:pPr>
        <w:ind w:left="0" w:firstLine="0"/>
      </w:pPr>
      <w:rPr>
        <w:rFonts w:hint="eastAsia"/>
        <w:color w:val="auto"/>
      </w:rPr>
    </w:lvl>
    <w:lvl w:ilvl="6" w:tentative="1">
      <w:start w:val="1"/>
      <w:numFmt w:val="decimal"/>
      <w:lvlText w:val="%1.%2.%3.%4.%5.%6.%7"/>
      <w:lvlJc w:val="left"/>
      <w:pPr>
        <w:ind w:left="0" w:firstLine="0"/>
      </w:pPr>
      <w:rPr>
        <w:rFonts w:hint="eastAsia"/>
      </w:rPr>
    </w:lvl>
    <w:lvl w:ilvl="7" w:tentative="1">
      <w:start w:val="1"/>
      <w:numFmt w:val="decimal"/>
      <w:lvlText w:val="%1.%2.%3.%4.%5.%6.%7.%8"/>
      <w:lvlJc w:val="left"/>
      <w:pPr>
        <w:ind w:left="0" w:firstLine="0"/>
      </w:pPr>
      <w:rPr>
        <w:rFonts w:hint="eastAsia"/>
      </w:rPr>
    </w:lvl>
    <w:lvl w:ilvl="8" w:tentative="1">
      <w:numFmt w:val="decimal"/>
      <w:lvlText w:val="%1.%2.%3.%4.%5.%6.%7.%8.%9"/>
      <w:lvlJc w:val="left"/>
      <w:pPr>
        <w:ind w:left="0" w:firstLine="0"/>
      </w:pPr>
      <w:rPr>
        <w:rFonts w:hint="eastAsia"/>
      </w:rPr>
    </w:lvl>
  </w:abstractNum>
  <w:abstractNum w:abstractNumId="1" w15:restartNumberingAfterBreak="0">
    <w:nsid w:val="0000003F"/>
    <w:multiLevelType w:val="multilevel"/>
    <w:tmpl w:val="263AF560"/>
    <w:lvl w:ilvl="0">
      <w:start w:val="1"/>
      <w:numFmt w:val="decimal"/>
      <w:lvlText w:val="%1"/>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680" w:hanging="680"/>
      </w:pPr>
      <w:rPr>
        <w:rFonts w:ascii="Times New Roman" w:eastAsia="宋体" w:hAnsi="Times New Roman" w:hint="default"/>
        <w:color w:val="auto"/>
        <w:sz w:val="24"/>
      </w:rPr>
    </w:lvl>
    <w:lvl w:ilvl="3">
      <w:start w:val="1"/>
      <w:numFmt w:val="decimal"/>
      <w:suff w:val="space"/>
      <w:lvlText w:val="%4"/>
      <w:lvlJc w:val="left"/>
      <w:pPr>
        <w:ind w:left="0" w:firstLine="340"/>
      </w:pPr>
      <w:rPr>
        <w:rFonts w:ascii="Times New Roman" w:hAnsi="Times New Roman" w:cs="Times New Roman" w:hint="default"/>
        <w:color w:val="auto"/>
        <w:sz w:val="24"/>
        <w:szCs w:val="28"/>
      </w:rPr>
    </w:lvl>
    <w:lvl w:ilvl="4">
      <w:start w:val="1"/>
      <w:numFmt w:val="decimal"/>
      <w:pStyle w:val="5"/>
      <w:suff w:val="space"/>
      <w:lvlText w:val="%5）"/>
      <w:lvlJc w:val="left"/>
      <w:pPr>
        <w:ind w:left="992" w:hanging="425"/>
      </w:pPr>
      <w:rPr>
        <w:rFonts w:hint="eastAsia"/>
      </w:rPr>
    </w:lvl>
    <w:lvl w:ilvl="5">
      <w:start w:val="1"/>
      <w:numFmt w:val="none"/>
      <w:lvlRestart w:val="1"/>
      <w:isLgl/>
      <w:lvlText w:val="图%1.%2.%3"/>
      <w:lvlJc w:val="center"/>
      <w:pPr>
        <w:ind w:left="0" w:firstLine="0"/>
      </w:pPr>
      <w:rPr>
        <w:rFonts w:hint="eastAsia"/>
        <w:color w:val="auto"/>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2" w15:restartNumberingAfterBreak="0">
    <w:nsid w:val="0000004E"/>
    <w:multiLevelType w:val="multilevel"/>
    <w:tmpl w:val="0000004E"/>
    <w:lvl w:ilvl="0">
      <w:start w:val="1"/>
      <w:numFmt w:val="decimal"/>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680" w:hanging="680"/>
      </w:pPr>
      <w:rPr>
        <w:rFonts w:ascii="Times New Roman" w:eastAsia="宋体" w:hAnsi="Times New Roman" w:cs="Times New Roman" w:hint="default"/>
        <w:color w:val="auto"/>
        <w:sz w:val="24"/>
      </w:rPr>
    </w:lvl>
    <w:lvl w:ilvl="3">
      <w:start w:val="1"/>
      <w:numFmt w:val="decimal"/>
      <w:suff w:val="space"/>
      <w:lvlText w:val="%4"/>
      <w:lvlJc w:val="left"/>
      <w:pPr>
        <w:ind w:left="0" w:firstLine="0"/>
      </w:pPr>
      <w:rPr>
        <w:rFonts w:ascii="Times New Roman" w:hAnsi="Times New Roman" w:cs="Times New Roman" w:hint="default"/>
        <w:color w:val="auto"/>
        <w:sz w:val="28"/>
        <w:szCs w:val="28"/>
      </w:rPr>
    </w:lvl>
    <w:lvl w:ilvl="4">
      <w:start w:val="1"/>
      <w:numFmt w:val="decimal"/>
      <w:lvlText w:val="表2.%5"/>
      <w:lvlJc w:val="center"/>
      <w:pPr>
        <w:tabs>
          <w:tab w:val="left" w:pos="2411"/>
        </w:tabs>
        <w:ind w:left="0" w:firstLine="0"/>
      </w:pPr>
    </w:lvl>
    <w:lvl w:ilvl="5">
      <w:start w:val="1"/>
      <w:numFmt w:val="decimal"/>
      <w:lvlRestart w:val="1"/>
      <w:isLgl/>
      <w:lvlText w:val="图%1.%2.%6"/>
      <w:lvlJc w:val="center"/>
      <w:pPr>
        <w:ind w:left="0" w:firstLine="0"/>
      </w:pPr>
      <w:rPr>
        <w:color w:val="auto"/>
      </w:r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3" w15:restartNumberingAfterBreak="0">
    <w:nsid w:val="0B57470A"/>
    <w:multiLevelType w:val="multilevel"/>
    <w:tmpl w:val="0B57470A"/>
    <w:lvl w:ilvl="0">
      <w:start w:val="1"/>
      <w:numFmt w:val="decimal"/>
      <w:lvlText w:val="%1."/>
      <w:lvlJc w:val="left"/>
      <w:pPr>
        <w:ind w:left="720" w:hanging="360"/>
      </w:pPr>
      <w:rPr>
        <w:rFonts w:hint="default"/>
      </w:rPr>
    </w:lvl>
    <w:lvl w:ilvl="1" w:tentative="1">
      <w:start w:val="1"/>
      <w:numFmt w:val="lowerLetter"/>
      <w:lvlText w:val="%2)"/>
      <w:lvlJc w:val="left"/>
      <w:pPr>
        <w:ind w:left="1200" w:hanging="420"/>
      </w:pPr>
    </w:lvl>
    <w:lvl w:ilvl="2" w:tentative="1">
      <w:start w:val="1"/>
      <w:numFmt w:val="lowerRoman"/>
      <w:lvlText w:val="%3."/>
      <w:lvlJc w:val="right"/>
      <w:pPr>
        <w:ind w:left="1620" w:hanging="420"/>
      </w:pPr>
    </w:lvl>
    <w:lvl w:ilvl="3" w:tentative="1">
      <w:start w:val="1"/>
      <w:numFmt w:val="decimal"/>
      <w:lvlText w:val="%4."/>
      <w:lvlJc w:val="left"/>
      <w:pPr>
        <w:ind w:left="2040" w:hanging="420"/>
      </w:pPr>
    </w:lvl>
    <w:lvl w:ilvl="4" w:tentative="1">
      <w:start w:val="1"/>
      <w:numFmt w:val="lowerLetter"/>
      <w:lvlText w:val="%5)"/>
      <w:lvlJc w:val="left"/>
      <w:pPr>
        <w:ind w:left="2460" w:hanging="420"/>
      </w:pPr>
    </w:lvl>
    <w:lvl w:ilvl="5" w:tentative="1">
      <w:start w:val="1"/>
      <w:numFmt w:val="lowerRoman"/>
      <w:lvlText w:val="%6."/>
      <w:lvlJc w:val="right"/>
      <w:pPr>
        <w:ind w:left="2880" w:hanging="420"/>
      </w:pPr>
    </w:lvl>
    <w:lvl w:ilvl="6" w:tentative="1">
      <w:start w:val="1"/>
      <w:numFmt w:val="decimal"/>
      <w:lvlText w:val="%7."/>
      <w:lvlJc w:val="left"/>
      <w:pPr>
        <w:ind w:left="3300" w:hanging="420"/>
      </w:pPr>
    </w:lvl>
    <w:lvl w:ilvl="7" w:tentative="1">
      <w:start w:val="1"/>
      <w:numFmt w:val="lowerLetter"/>
      <w:lvlText w:val="%8)"/>
      <w:lvlJc w:val="left"/>
      <w:pPr>
        <w:ind w:left="3720" w:hanging="420"/>
      </w:pPr>
    </w:lvl>
    <w:lvl w:ilvl="8" w:tentative="1">
      <w:start w:val="1"/>
      <w:numFmt w:val="lowerRoman"/>
      <w:lvlText w:val="%9."/>
      <w:lvlJc w:val="right"/>
      <w:pPr>
        <w:ind w:left="4140" w:hanging="420"/>
      </w:pPr>
    </w:lvl>
  </w:abstractNum>
  <w:abstractNum w:abstractNumId="4" w15:restartNumberingAfterBreak="0">
    <w:nsid w:val="191F67F8"/>
    <w:multiLevelType w:val="multilevel"/>
    <w:tmpl w:val="191F67F8"/>
    <w:lvl w:ilvl="0" w:tentative="1">
      <w:start w:val="1"/>
      <w:numFmt w:val="chineseCountingThousand"/>
      <w:pStyle w:val="cl1051"/>
      <w:suff w:val="space"/>
      <w:lvlText w:val="第%1章"/>
      <w:lvlJc w:val="left"/>
      <w:pPr>
        <w:ind w:left="0" w:firstLine="0"/>
      </w:pPr>
      <w:rPr>
        <w:rFonts w:hint="eastAsia"/>
      </w:rPr>
    </w:lvl>
    <w:lvl w:ilvl="1" w:tentative="1">
      <w:start w:val="1"/>
      <w:numFmt w:val="decimal"/>
      <w:pStyle w:val="CL2"/>
      <w:isLgl/>
      <w:suff w:val="space"/>
      <w:lvlText w:val="%2  "/>
      <w:lvlJc w:val="left"/>
      <w:pPr>
        <w:ind w:left="0" w:firstLine="0"/>
      </w:pPr>
      <w:rPr>
        <w:rFonts w:hint="eastAsia"/>
        <w:b/>
        <w:i w:val="0"/>
      </w:rPr>
    </w:lvl>
    <w:lvl w:ilvl="2" w:tentative="1">
      <w:start w:val="1"/>
      <w:numFmt w:val="decimal"/>
      <w:pStyle w:val="CL3"/>
      <w:isLgl/>
      <w:suff w:val="space"/>
      <w:lvlText w:val="%2.%3 "/>
      <w:lvlJc w:val="left"/>
      <w:pPr>
        <w:ind w:left="0" w:firstLine="0"/>
      </w:pPr>
      <w:rPr>
        <w:rFonts w:hint="eastAsia"/>
      </w:rPr>
    </w:lvl>
    <w:lvl w:ilvl="3" w:tentative="1">
      <w:start w:val="1"/>
      <w:numFmt w:val="decimal"/>
      <w:isLgl/>
      <w:suff w:val="space"/>
      <w:lvlText w:val="%2.%3.%4 "/>
      <w:lvlJc w:val="left"/>
      <w:pPr>
        <w:ind w:left="0" w:firstLine="0"/>
      </w:pPr>
      <w:rPr>
        <w:rFonts w:eastAsia="宋体" w:hint="eastAsia"/>
        <w:b w:val="0"/>
        <w:i w:val="0"/>
        <w:sz w:val="28"/>
      </w:rPr>
    </w:lvl>
    <w:lvl w:ilvl="4" w:tentative="1">
      <w:start w:val="1"/>
      <w:numFmt w:val="decimal"/>
      <w:pStyle w:val="CL5"/>
      <w:suff w:val="space"/>
      <w:lvlText w:val="（%5）"/>
      <w:lvlJc w:val="left"/>
      <w:pPr>
        <w:ind w:left="1305" w:hanging="170"/>
      </w:pPr>
      <w:rPr>
        <w:rFonts w:hint="default"/>
        <w:lang w:val="en-US"/>
      </w:rPr>
    </w:lvl>
    <w:lvl w:ilvl="5" w:tentative="1">
      <w:start w:val="1"/>
      <w:numFmt w:val="bullet"/>
      <w:pStyle w:val="CL6"/>
      <w:suff w:val="space"/>
      <w:lvlText w:val=""/>
      <w:lvlJc w:val="left"/>
      <w:pPr>
        <w:ind w:left="567" w:hanging="113"/>
      </w:pPr>
      <w:rPr>
        <w:rFonts w:ascii="Wingdings" w:hAnsi="Wingdings" w:hint="default"/>
      </w:rPr>
    </w:lvl>
    <w:lvl w:ilvl="6" w:tentative="1">
      <w:start w:val="1"/>
      <w:numFmt w:val="decimal"/>
      <w:lvlText w:val="%1.%2.%3.%4.%5.%6.%7"/>
      <w:lvlJc w:val="left"/>
      <w:pPr>
        <w:tabs>
          <w:tab w:val="left" w:pos="1296"/>
        </w:tabs>
        <w:ind w:left="1296" w:hanging="1296"/>
      </w:pPr>
      <w:rPr>
        <w:rFonts w:hint="eastAsia"/>
      </w:rPr>
    </w:lvl>
    <w:lvl w:ilvl="7" w:tentative="1">
      <w:start w:val="1"/>
      <w:numFmt w:val="decimal"/>
      <w:lvlRestart w:val="1"/>
      <w:isLgl/>
      <w:suff w:val="space"/>
      <w:lvlText w:val="表%1－%8   "/>
      <w:lvlJc w:val="center"/>
      <w:pPr>
        <w:ind w:left="0" w:firstLine="0"/>
      </w:pPr>
      <w:rPr>
        <w:rFonts w:hint="eastAsia"/>
      </w:rPr>
    </w:lvl>
    <w:lvl w:ilvl="8" w:tentative="1">
      <w:start w:val="1"/>
      <w:numFmt w:val="decimal"/>
      <w:lvlRestart w:val="1"/>
      <w:isLgl/>
      <w:suff w:val="space"/>
      <w:lvlText w:val="图%1－%9  "/>
      <w:lvlJc w:val="center"/>
      <w:pPr>
        <w:ind w:left="4112" w:firstLine="0"/>
      </w:pPr>
      <w:rPr>
        <w:rFonts w:eastAsia="黑体" w:hint="eastAsia"/>
        <w:sz w:val="21"/>
        <w:szCs w:val="21"/>
      </w:rPr>
    </w:lvl>
  </w:abstractNum>
  <w:abstractNum w:abstractNumId="5" w15:restartNumberingAfterBreak="0">
    <w:nsid w:val="2B8A147B"/>
    <w:multiLevelType w:val="multilevel"/>
    <w:tmpl w:val="2B8A147B"/>
    <w:lvl w:ilvl="0">
      <w:start w:val="1"/>
      <w:numFmt w:val="decimal"/>
      <w:lvlText w:val="%1."/>
      <w:lvlJc w:val="left"/>
      <w:pPr>
        <w:ind w:left="720" w:hanging="360"/>
      </w:pPr>
      <w:rPr>
        <w:rFonts w:hint="default"/>
      </w:rPr>
    </w:lvl>
    <w:lvl w:ilvl="1" w:tentative="1">
      <w:start w:val="1"/>
      <w:numFmt w:val="lowerLetter"/>
      <w:lvlText w:val="%2)"/>
      <w:lvlJc w:val="left"/>
      <w:pPr>
        <w:ind w:left="1200" w:hanging="420"/>
      </w:pPr>
    </w:lvl>
    <w:lvl w:ilvl="2" w:tentative="1">
      <w:start w:val="1"/>
      <w:numFmt w:val="lowerRoman"/>
      <w:lvlText w:val="%3."/>
      <w:lvlJc w:val="right"/>
      <w:pPr>
        <w:ind w:left="1620" w:hanging="420"/>
      </w:pPr>
    </w:lvl>
    <w:lvl w:ilvl="3" w:tentative="1">
      <w:start w:val="1"/>
      <w:numFmt w:val="decimal"/>
      <w:lvlText w:val="%4."/>
      <w:lvlJc w:val="left"/>
      <w:pPr>
        <w:ind w:left="2040" w:hanging="420"/>
      </w:pPr>
    </w:lvl>
    <w:lvl w:ilvl="4" w:tentative="1">
      <w:start w:val="1"/>
      <w:numFmt w:val="lowerLetter"/>
      <w:lvlText w:val="%5)"/>
      <w:lvlJc w:val="left"/>
      <w:pPr>
        <w:ind w:left="2460" w:hanging="420"/>
      </w:pPr>
    </w:lvl>
    <w:lvl w:ilvl="5" w:tentative="1">
      <w:start w:val="1"/>
      <w:numFmt w:val="lowerRoman"/>
      <w:lvlText w:val="%6."/>
      <w:lvlJc w:val="right"/>
      <w:pPr>
        <w:ind w:left="2880" w:hanging="420"/>
      </w:pPr>
    </w:lvl>
    <w:lvl w:ilvl="6" w:tentative="1">
      <w:start w:val="1"/>
      <w:numFmt w:val="decimal"/>
      <w:lvlText w:val="%7."/>
      <w:lvlJc w:val="left"/>
      <w:pPr>
        <w:ind w:left="3300" w:hanging="420"/>
      </w:pPr>
    </w:lvl>
    <w:lvl w:ilvl="7" w:tentative="1">
      <w:start w:val="1"/>
      <w:numFmt w:val="lowerLetter"/>
      <w:lvlText w:val="%8)"/>
      <w:lvlJc w:val="left"/>
      <w:pPr>
        <w:ind w:left="3720" w:hanging="420"/>
      </w:pPr>
    </w:lvl>
    <w:lvl w:ilvl="8" w:tentative="1">
      <w:start w:val="1"/>
      <w:numFmt w:val="lowerRoman"/>
      <w:lvlText w:val="%9."/>
      <w:lvlJc w:val="right"/>
      <w:pPr>
        <w:ind w:left="4140" w:hanging="420"/>
      </w:pPr>
    </w:lvl>
  </w:abstractNum>
  <w:abstractNum w:abstractNumId="6" w15:restartNumberingAfterBreak="0">
    <w:nsid w:val="37AB60D6"/>
    <w:multiLevelType w:val="multilevel"/>
    <w:tmpl w:val="37AB60D6"/>
    <w:lvl w:ilvl="0">
      <w:start w:val="1"/>
      <w:numFmt w:val="decimal"/>
      <w:lvlText w:val="%1."/>
      <w:lvlJc w:val="left"/>
      <w:pPr>
        <w:ind w:left="720" w:hanging="360"/>
      </w:pPr>
      <w:rPr>
        <w:rFonts w:hint="default"/>
      </w:rPr>
    </w:lvl>
    <w:lvl w:ilvl="1" w:tentative="1">
      <w:start w:val="1"/>
      <w:numFmt w:val="lowerLetter"/>
      <w:lvlText w:val="%2)"/>
      <w:lvlJc w:val="left"/>
      <w:pPr>
        <w:ind w:left="1200" w:hanging="420"/>
      </w:pPr>
    </w:lvl>
    <w:lvl w:ilvl="2" w:tentative="1">
      <w:start w:val="1"/>
      <w:numFmt w:val="lowerRoman"/>
      <w:lvlText w:val="%3."/>
      <w:lvlJc w:val="right"/>
      <w:pPr>
        <w:ind w:left="1620" w:hanging="420"/>
      </w:pPr>
    </w:lvl>
    <w:lvl w:ilvl="3" w:tentative="1">
      <w:start w:val="1"/>
      <w:numFmt w:val="decimal"/>
      <w:lvlText w:val="%4."/>
      <w:lvlJc w:val="left"/>
      <w:pPr>
        <w:ind w:left="2040" w:hanging="420"/>
      </w:pPr>
    </w:lvl>
    <w:lvl w:ilvl="4">
      <w:start w:val="1"/>
      <w:numFmt w:val="lowerLetter"/>
      <w:lvlText w:val="%5)"/>
      <w:lvlJc w:val="left"/>
      <w:pPr>
        <w:ind w:left="2460" w:hanging="420"/>
      </w:pPr>
    </w:lvl>
    <w:lvl w:ilvl="5" w:tentative="1">
      <w:start w:val="1"/>
      <w:numFmt w:val="lowerRoman"/>
      <w:lvlText w:val="%6."/>
      <w:lvlJc w:val="right"/>
      <w:pPr>
        <w:ind w:left="2880" w:hanging="420"/>
      </w:pPr>
    </w:lvl>
    <w:lvl w:ilvl="6" w:tentative="1">
      <w:start w:val="1"/>
      <w:numFmt w:val="decimal"/>
      <w:lvlText w:val="%7."/>
      <w:lvlJc w:val="left"/>
      <w:pPr>
        <w:ind w:left="3300" w:hanging="420"/>
      </w:pPr>
    </w:lvl>
    <w:lvl w:ilvl="7" w:tentative="1">
      <w:start w:val="1"/>
      <w:numFmt w:val="lowerLetter"/>
      <w:lvlText w:val="%8)"/>
      <w:lvlJc w:val="left"/>
      <w:pPr>
        <w:ind w:left="3720" w:hanging="420"/>
      </w:pPr>
    </w:lvl>
    <w:lvl w:ilvl="8" w:tentative="1">
      <w:start w:val="1"/>
      <w:numFmt w:val="lowerRoman"/>
      <w:lvlText w:val="%9."/>
      <w:lvlJc w:val="right"/>
      <w:pPr>
        <w:ind w:left="4140" w:hanging="420"/>
      </w:pPr>
    </w:lvl>
  </w:abstractNum>
  <w:abstractNum w:abstractNumId="7" w15:restartNumberingAfterBreak="0">
    <w:nsid w:val="3CFC46D4"/>
    <w:multiLevelType w:val="multilevel"/>
    <w:tmpl w:val="3CFC46D4"/>
    <w:lvl w:ilvl="0">
      <w:start w:val="1"/>
      <w:numFmt w:val="decimal"/>
      <w:lvlText w:val="%1."/>
      <w:lvlJc w:val="left"/>
      <w:pPr>
        <w:ind w:left="720" w:hanging="360"/>
      </w:pPr>
      <w:rPr>
        <w:rFonts w:hint="default"/>
      </w:rPr>
    </w:lvl>
    <w:lvl w:ilvl="1" w:tentative="1">
      <w:start w:val="1"/>
      <w:numFmt w:val="lowerLetter"/>
      <w:lvlText w:val="%2)"/>
      <w:lvlJc w:val="left"/>
      <w:pPr>
        <w:ind w:left="1200" w:hanging="420"/>
      </w:pPr>
    </w:lvl>
    <w:lvl w:ilvl="2" w:tentative="1">
      <w:start w:val="1"/>
      <w:numFmt w:val="lowerRoman"/>
      <w:lvlText w:val="%3."/>
      <w:lvlJc w:val="right"/>
      <w:pPr>
        <w:ind w:left="1620" w:hanging="420"/>
      </w:pPr>
    </w:lvl>
    <w:lvl w:ilvl="3" w:tentative="1">
      <w:start w:val="1"/>
      <w:numFmt w:val="decimal"/>
      <w:lvlText w:val="%4."/>
      <w:lvlJc w:val="left"/>
      <w:pPr>
        <w:ind w:left="2040" w:hanging="420"/>
      </w:pPr>
    </w:lvl>
    <w:lvl w:ilvl="4" w:tentative="1">
      <w:start w:val="1"/>
      <w:numFmt w:val="lowerLetter"/>
      <w:lvlText w:val="%5)"/>
      <w:lvlJc w:val="left"/>
      <w:pPr>
        <w:ind w:left="2460" w:hanging="420"/>
      </w:pPr>
    </w:lvl>
    <w:lvl w:ilvl="5" w:tentative="1">
      <w:start w:val="1"/>
      <w:numFmt w:val="lowerRoman"/>
      <w:lvlText w:val="%6."/>
      <w:lvlJc w:val="right"/>
      <w:pPr>
        <w:ind w:left="2880" w:hanging="420"/>
      </w:pPr>
    </w:lvl>
    <w:lvl w:ilvl="6" w:tentative="1">
      <w:start w:val="1"/>
      <w:numFmt w:val="decimal"/>
      <w:lvlText w:val="%7."/>
      <w:lvlJc w:val="left"/>
      <w:pPr>
        <w:ind w:left="3300" w:hanging="420"/>
      </w:pPr>
    </w:lvl>
    <w:lvl w:ilvl="7" w:tentative="1">
      <w:start w:val="1"/>
      <w:numFmt w:val="lowerLetter"/>
      <w:lvlText w:val="%8)"/>
      <w:lvlJc w:val="left"/>
      <w:pPr>
        <w:ind w:left="3720" w:hanging="420"/>
      </w:pPr>
    </w:lvl>
    <w:lvl w:ilvl="8" w:tentative="1">
      <w:start w:val="1"/>
      <w:numFmt w:val="lowerRoman"/>
      <w:lvlText w:val="%9."/>
      <w:lvlJc w:val="right"/>
      <w:pPr>
        <w:ind w:left="4140" w:hanging="420"/>
      </w:pPr>
    </w:lvl>
  </w:abstractNum>
  <w:abstractNum w:abstractNumId="8" w15:restartNumberingAfterBreak="0">
    <w:nsid w:val="4D4A5252"/>
    <w:multiLevelType w:val="multilevel"/>
    <w:tmpl w:val="7444EB78"/>
    <w:lvl w:ilvl="0">
      <w:start w:val="1"/>
      <w:numFmt w:val="decimal"/>
      <w:pStyle w:val="1"/>
      <w:lvlText w:val="%1"/>
      <w:lvlJc w:val="left"/>
      <w:pPr>
        <w:ind w:left="0" w:firstLine="0"/>
      </w:pPr>
      <w:rPr>
        <w:rFonts w:ascii="宋体" w:eastAsia="宋体" w:hAnsi="宋体" w:hint="eastAsia"/>
      </w:rPr>
    </w:lvl>
    <w:lvl w:ilvl="1">
      <w:start w:val="1"/>
      <w:numFmt w:val="decimal"/>
      <w:pStyle w:val="2"/>
      <w:suff w:val="space"/>
      <w:lvlText w:val="%1.%2"/>
      <w:lvlJc w:val="left"/>
      <w:pPr>
        <w:ind w:left="0" w:firstLine="0"/>
      </w:pPr>
      <w:rPr>
        <w:rFonts w:hint="eastAsia"/>
      </w:rPr>
    </w:lvl>
    <w:lvl w:ilvl="2">
      <w:start w:val="1"/>
      <w:numFmt w:val="decimal"/>
      <w:pStyle w:val="31"/>
      <w:suff w:val="space"/>
      <w:lvlText w:val="%1.%2.%3"/>
      <w:lvlJc w:val="left"/>
      <w:pPr>
        <w:ind w:left="0" w:firstLine="0"/>
      </w:pPr>
      <w:rPr>
        <w:rFonts w:ascii="Times New Roman" w:eastAsia="宋体" w:hAnsi="Times New Roman" w:hint="default"/>
        <w:b w:val="0"/>
        <w:color w:val="auto"/>
        <w:sz w:val="24"/>
      </w:rPr>
    </w:lvl>
    <w:lvl w:ilvl="3">
      <w:start w:val="1"/>
      <w:numFmt w:val="decimal"/>
      <w:suff w:val="space"/>
      <w:lvlText w:val="%4"/>
      <w:lvlJc w:val="left"/>
      <w:pPr>
        <w:ind w:left="0" w:firstLine="0"/>
      </w:pPr>
      <w:rPr>
        <w:rFonts w:ascii="Times New Roman" w:hAnsi="Times New Roman" w:cs="Times New Roman" w:hint="default"/>
        <w:color w:val="auto"/>
        <w:sz w:val="28"/>
        <w:szCs w:val="28"/>
      </w:rPr>
    </w:lvl>
    <w:lvl w:ilvl="4">
      <w:start w:val="1"/>
      <w:numFmt w:val="decimal"/>
      <w:lvlRestart w:val="1"/>
      <w:pStyle w:val="10"/>
      <w:suff w:val="space"/>
      <w:lvlText w:val="表%1.%5"/>
      <w:lvlJc w:val="center"/>
      <w:pPr>
        <w:ind w:left="0" w:firstLine="454"/>
      </w:pPr>
      <w:rPr>
        <w:rFonts w:hint="eastAsia"/>
      </w:rPr>
    </w:lvl>
    <w:lvl w:ilvl="5">
      <w:start w:val="1"/>
      <w:numFmt w:val="decimal"/>
      <w:lvlRestart w:val="1"/>
      <w:pStyle w:val="a"/>
      <w:isLgl/>
      <w:suff w:val="space"/>
      <w:lvlText w:val="图%1.%6"/>
      <w:lvlJc w:val="center"/>
      <w:pPr>
        <w:ind w:left="0" w:firstLine="454"/>
      </w:pPr>
      <w:rPr>
        <w:rFonts w:hint="eastAsia"/>
        <w:color w:val="auto"/>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9" w15:restartNumberingAfterBreak="0">
    <w:nsid w:val="56EB3AEE"/>
    <w:multiLevelType w:val="multilevel"/>
    <w:tmpl w:val="2D1A9E24"/>
    <w:lvl w:ilvl="0">
      <w:start w:val="1"/>
      <w:numFmt w:val="decimal"/>
      <w:lvlText w:val="%1"/>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680" w:hanging="680"/>
      </w:pPr>
      <w:rPr>
        <w:rFonts w:ascii="Times New Roman" w:eastAsia="宋体" w:hAnsi="Times New Roman" w:hint="default"/>
        <w:color w:val="auto"/>
        <w:sz w:val="24"/>
      </w:rPr>
    </w:lvl>
    <w:lvl w:ilvl="3">
      <w:start w:val="1"/>
      <w:numFmt w:val="decimal"/>
      <w:pStyle w:val="4"/>
      <w:suff w:val="space"/>
      <w:lvlText w:val="%4"/>
      <w:lvlJc w:val="left"/>
      <w:pPr>
        <w:ind w:left="0" w:firstLine="369"/>
      </w:pPr>
      <w:rPr>
        <w:rFonts w:ascii="Times New Roman" w:hAnsi="Times New Roman" w:cs="Times New Roman" w:hint="default"/>
        <w:b w:val="0"/>
        <w:color w:val="auto"/>
        <w:sz w:val="24"/>
        <w:szCs w:val="28"/>
      </w:rPr>
    </w:lvl>
    <w:lvl w:ilvl="4">
      <w:start w:val="1"/>
      <w:numFmt w:val="decimal"/>
      <w:lvlText w:val="表2.%5"/>
      <w:lvlJc w:val="center"/>
      <w:pPr>
        <w:tabs>
          <w:tab w:val="num" w:pos="2411"/>
        </w:tabs>
        <w:ind w:left="0" w:firstLine="0"/>
      </w:pPr>
      <w:rPr>
        <w:rFonts w:hint="eastAsia"/>
      </w:rPr>
    </w:lvl>
    <w:lvl w:ilvl="5">
      <w:start w:val="1"/>
      <w:numFmt w:val="decimal"/>
      <w:lvlRestart w:val="1"/>
      <w:isLgl/>
      <w:lvlText w:val="图%1.%2.%6"/>
      <w:lvlJc w:val="center"/>
      <w:pPr>
        <w:ind w:left="0" w:firstLine="0"/>
      </w:pPr>
      <w:rPr>
        <w:rFonts w:hint="eastAsia"/>
        <w:color w:val="auto"/>
      </w:rPr>
    </w:lvl>
    <w:lvl w:ilvl="6">
      <w:start w:val="1"/>
      <w:numFmt w:val="none"/>
      <w:lvlRestart w:val="1"/>
      <w:lvlText w:val="%1.%2.%3"/>
      <w:lvlJc w:val="center"/>
      <w:pPr>
        <w:ind w:left="0" w:firstLine="288"/>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0" w15:restartNumberingAfterBreak="0">
    <w:nsid w:val="58CD6BAA"/>
    <w:multiLevelType w:val="multilevel"/>
    <w:tmpl w:val="58CD6BAA"/>
    <w:lvl w:ilvl="0">
      <w:start w:val="1"/>
      <w:numFmt w:val="decimal"/>
      <w:lvlText w:val="%1."/>
      <w:lvlJc w:val="left"/>
      <w:pPr>
        <w:ind w:left="720" w:hanging="360"/>
      </w:pPr>
      <w:rPr>
        <w:rFonts w:hint="default"/>
      </w:rPr>
    </w:lvl>
    <w:lvl w:ilvl="1" w:tentative="1">
      <w:start w:val="1"/>
      <w:numFmt w:val="lowerLetter"/>
      <w:lvlText w:val="%2)"/>
      <w:lvlJc w:val="left"/>
      <w:pPr>
        <w:ind w:left="1200" w:hanging="420"/>
      </w:pPr>
    </w:lvl>
    <w:lvl w:ilvl="2" w:tentative="1">
      <w:start w:val="1"/>
      <w:numFmt w:val="lowerRoman"/>
      <w:lvlText w:val="%3."/>
      <w:lvlJc w:val="right"/>
      <w:pPr>
        <w:ind w:left="1620" w:hanging="420"/>
      </w:pPr>
    </w:lvl>
    <w:lvl w:ilvl="3" w:tentative="1">
      <w:start w:val="1"/>
      <w:numFmt w:val="decimal"/>
      <w:lvlText w:val="%4."/>
      <w:lvlJc w:val="left"/>
      <w:pPr>
        <w:ind w:left="2040" w:hanging="420"/>
      </w:pPr>
    </w:lvl>
    <w:lvl w:ilvl="4" w:tentative="1">
      <w:start w:val="1"/>
      <w:numFmt w:val="lowerLetter"/>
      <w:lvlText w:val="%5)"/>
      <w:lvlJc w:val="left"/>
      <w:pPr>
        <w:ind w:left="2460" w:hanging="420"/>
      </w:pPr>
    </w:lvl>
    <w:lvl w:ilvl="5" w:tentative="1">
      <w:start w:val="1"/>
      <w:numFmt w:val="lowerRoman"/>
      <w:lvlText w:val="%6."/>
      <w:lvlJc w:val="right"/>
      <w:pPr>
        <w:ind w:left="2880" w:hanging="420"/>
      </w:pPr>
    </w:lvl>
    <w:lvl w:ilvl="6" w:tentative="1">
      <w:start w:val="1"/>
      <w:numFmt w:val="decimal"/>
      <w:lvlText w:val="%7."/>
      <w:lvlJc w:val="left"/>
      <w:pPr>
        <w:ind w:left="3300" w:hanging="420"/>
      </w:pPr>
    </w:lvl>
    <w:lvl w:ilvl="7" w:tentative="1">
      <w:start w:val="1"/>
      <w:numFmt w:val="lowerLetter"/>
      <w:lvlText w:val="%8)"/>
      <w:lvlJc w:val="left"/>
      <w:pPr>
        <w:ind w:left="3720" w:hanging="420"/>
      </w:pPr>
    </w:lvl>
    <w:lvl w:ilvl="8" w:tentative="1">
      <w:start w:val="1"/>
      <w:numFmt w:val="lowerRoman"/>
      <w:lvlText w:val="%9."/>
      <w:lvlJc w:val="right"/>
      <w:pPr>
        <w:ind w:left="4140" w:hanging="420"/>
      </w:pPr>
    </w:lvl>
  </w:abstractNum>
  <w:abstractNum w:abstractNumId="11" w15:restartNumberingAfterBreak="0">
    <w:nsid w:val="5F46475C"/>
    <w:multiLevelType w:val="multilevel"/>
    <w:tmpl w:val="5F46475C"/>
    <w:lvl w:ilvl="0">
      <w:start w:val="1"/>
      <w:numFmt w:val="decimal"/>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680" w:hanging="680"/>
      </w:pPr>
      <w:rPr>
        <w:rFonts w:ascii="Times New Roman" w:eastAsia="宋体" w:hAnsi="Times New Roman" w:cs="Times New Roman" w:hint="default"/>
        <w:color w:val="auto"/>
        <w:sz w:val="24"/>
      </w:rPr>
    </w:lvl>
    <w:lvl w:ilvl="3">
      <w:start w:val="1"/>
      <w:numFmt w:val="decimal"/>
      <w:suff w:val="space"/>
      <w:lvlText w:val="%4）"/>
      <w:lvlJc w:val="left"/>
      <w:pPr>
        <w:ind w:left="680" w:hanging="453"/>
      </w:pPr>
      <w:rPr>
        <w:rFonts w:ascii="Times New Roman" w:hAnsi="Times New Roman" w:cs="Times New Roman" w:hint="default"/>
        <w:color w:val="auto"/>
        <w:sz w:val="24"/>
        <w:szCs w:val="28"/>
      </w:rPr>
    </w:lvl>
    <w:lvl w:ilvl="4">
      <w:start w:val="1"/>
      <w:numFmt w:val="decimal"/>
      <w:lvlText w:val="表2.%5"/>
      <w:lvlJc w:val="center"/>
      <w:pPr>
        <w:tabs>
          <w:tab w:val="left" w:pos="2411"/>
        </w:tabs>
        <w:ind w:left="0" w:firstLine="0"/>
      </w:pPr>
    </w:lvl>
    <w:lvl w:ilvl="5">
      <w:start w:val="1"/>
      <w:numFmt w:val="decimal"/>
      <w:lvlRestart w:val="1"/>
      <w:isLgl/>
      <w:lvlText w:val="图%1.%2.%6"/>
      <w:lvlJc w:val="center"/>
      <w:pPr>
        <w:ind w:left="0" w:firstLine="0"/>
      </w:pPr>
      <w:rPr>
        <w:color w:val="auto"/>
      </w:r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12" w15:restartNumberingAfterBreak="0">
    <w:nsid w:val="688165BD"/>
    <w:multiLevelType w:val="multilevel"/>
    <w:tmpl w:val="688165BD"/>
    <w:lvl w:ilvl="0">
      <w:start w:val="1"/>
      <w:numFmt w:val="decimal"/>
      <w:lvlText w:val="%1."/>
      <w:lvlJc w:val="left"/>
      <w:pPr>
        <w:ind w:left="720" w:hanging="360"/>
      </w:pPr>
      <w:rPr>
        <w:rFonts w:hint="default"/>
      </w:rPr>
    </w:lvl>
    <w:lvl w:ilvl="1" w:tentative="1">
      <w:start w:val="1"/>
      <w:numFmt w:val="lowerLetter"/>
      <w:lvlText w:val="%2)"/>
      <w:lvlJc w:val="left"/>
      <w:pPr>
        <w:ind w:left="1200" w:hanging="420"/>
      </w:pPr>
    </w:lvl>
    <w:lvl w:ilvl="2" w:tentative="1">
      <w:start w:val="1"/>
      <w:numFmt w:val="lowerRoman"/>
      <w:lvlText w:val="%3."/>
      <w:lvlJc w:val="right"/>
      <w:pPr>
        <w:ind w:left="1620" w:hanging="420"/>
      </w:pPr>
    </w:lvl>
    <w:lvl w:ilvl="3" w:tentative="1">
      <w:start w:val="1"/>
      <w:numFmt w:val="decimal"/>
      <w:lvlText w:val="%4."/>
      <w:lvlJc w:val="left"/>
      <w:pPr>
        <w:ind w:left="2040" w:hanging="420"/>
      </w:pPr>
    </w:lvl>
    <w:lvl w:ilvl="4" w:tentative="1">
      <w:start w:val="1"/>
      <w:numFmt w:val="lowerLetter"/>
      <w:lvlText w:val="%5)"/>
      <w:lvlJc w:val="left"/>
      <w:pPr>
        <w:ind w:left="2460" w:hanging="420"/>
      </w:pPr>
    </w:lvl>
    <w:lvl w:ilvl="5" w:tentative="1">
      <w:start w:val="1"/>
      <w:numFmt w:val="lowerRoman"/>
      <w:lvlText w:val="%6."/>
      <w:lvlJc w:val="right"/>
      <w:pPr>
        <w:ind w:left="2880" w:hanging="420"/>
      </w:pPr>
    </w:lvl>
    <w:lvl w:ilvl="6" w:tentative="1">
      <w:start w:val="1"/>
      <w:numFmt w:val="decimal"/>
      <w:lvlText w:val="%7."/>
      <w:lvlJc w:val="left"/>
      <w:pPr>
        <w:ind w:left="3300" w:hanging="420"/>
      </w:pPr>
    </w:lvl>
    <w:lvl w:ilvl="7" w:tentative="1">
      <w:start w:val="1"/>
      <w:numFmt w:val="lowerLetter"/>
      <w:lvlText w:val="%8)"/>
      <w:lvlJc w:val="left"/>
      <w:pPr>
        <w:ind w:left="3720" w:hanging="420"/>
      </w:pPr>
    </w:lvl>
    <w:lvl w:ilvl="8" w:tentative="1">
      <w:start w:val="1"/>
      <w:numFmt w:val="lowerRoman"/>
      <w:lvlText w:val="%9."/>
      <w:lvlJc w:val="right"/>
      <w:pPr>
        <w:ind w:left="4140" w:hanging="420"/>
      </w:pPr>
    </w:lvl>
  </w:abstractNum>
  <w:num w:numId="1">
    <w:abstractNumId w:val="8"/>
  </w:num>
  <w:num w:numId="2">
    <w:abstractNumId w:val="4"/>
  </w:num>
  <w:num w:numId="3">
    <w:abstractNumId w:val="0"/>
  </w:num>
  <w:num w:numId="4">
    <w:abstractNumId w:val="6"/>
  </w:num>
  <w:num w:numId="5">
    <w:abstractNumId w:val="7"/>
  </w:num>
  <w:num w:numId="6">
    <w:abstractNumId w:val="3"/>
  </w:num>
  <w:num w:numId="7">
    <w:abstractNumId w:val="5"/>
  </w:num>
  <w:num w:numId="8">
    <w:abstractNumId w:val="10"/>
  </w:num>
  <w:num w:numId="9">
    <w:abstractNumId w:val="12"/>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
  </w:num>
  <w:num w:numId="58">
    <w:abstractNumId w:val="1"/>
  </w:num>
  <w:num w:numId="59">
    <w:abstractNumId w:val="8"/>
  </w:num>
  <w:num w:numId="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9"/>
  </w:num>
  <w:num w:numId="63">
    <w:abstractNumId w:val="9"/>
  </w:num>
  <w:num w:numId="64">
    <w:abstractNumId w:val="9"/>
  </w:num>
  <w:num w:numId="65">
    <w:abstractNumId w:val="9"/>
  </w:num>
  <w:num w:numId="66">
    <w:abstractNumId w:val="9"/>
  </w:num>
  <w:num w:numId="67">
    <w:abstractNumId w:val="9"/>
  </w:num>
  <w:num w:numId="68">
    <w:abstractNumId w:val="9"/>
  </w:num>
  <w:num w:numId="69">
    <w:abstractNumId w:val="9"/>
  </w:num>
  <w:num w:numId="70">
    <w:abstractNumId w:val="9"/>
  </w:num>
  <w:num w:numId="71">
    <w:abstractNumId w:val="9"/>
  </w:num>
  <w:num w:numId="72">
    <w:abstractNumId w:val="9"/>
  </w:num>
  <w:num w:numId="73">
    <w:abstractNumId w:val="9"/>
  </w:num>
  <w:num w:numId="74">
    <w:abstractNumId w:val="9"/>
  </w:num>
  <w:num w:numId="75">
    <w:abstractNumId w:val="9"/>
  </w:num>
  <w:num w:numId="76">
    <w:abstractNumId w:val="9"/>
  </w:num>
  <w:num w:numId="77">
    <w:abstractNumId w:val="9"/>
  </w:num>
  <w:num w:numId="7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
  </w:num>
  <w:num w:numId="80">
    <w:abstractNumId w:val="1"/>
  </w:num>
  <w:num w:numId="81">
    <w:abstractNumId w:val="9"/>
  </w:num>
  <w:num w:numId="82">
    <w:abstractNumId w:val="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proofState w:spelling="clean" w:grammar="clean"/>
  <w:defaultTabStop w:val="281"/>
  <w:drawingGridVerticalSpacing w:val="156"/>
  <w:displayHorizontalDrawingGridEvery w:val="0"/>
  <w:displayVerticalDrawingGridEvery w:val="2"/>
  <w:characterSpacingControl w:val="compressPunctuation"/>
  <w:hdrShapeDefaults>
    <o:shapedefaults v:ext="edit" spidmax="2049" fillcolor="#9cbee0" strokecolor="#739cc3">
      <v:fill color="#9cbee0" color2="#bbd5f0" type="gradient">
        <o:fill v:ext="view" type="gradientUnscaled"/>
      </v:fill>
      <v:stroke color="#739cc3" weight="1.25pt" miterlimit="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CC5"/>
    <w:rsid w:val="000036EA"/>
    <w:rsid w:val="000057A0"/>
    <w:rsid w:val="00006E21"/>
    <w:rsid w:val="00007558"/>
    <w:rsid w:val="0001139A"/>
    <w:rsid w:val="0001308E"/>
    <w:rsid w:val="000139FC"/>
    <w:rsid w:val="0001400D"/>
    <w:rsid w:val="000142E5"/>
    <w:rsid w:val="000158E3"/>
    <w:rsid w:val="00015B7A"/>
    <w:rsid w:val="0001756F"/>
    <w:rsid w:val="000225F6"/>
    <w:rsid w:val="00023E96"/>
    <w:rsid w:val="00025580"/>
    <w:rsid w:val="00040D71"/>
    <w:rsid w:val="000424C7"/>
    <w:rsid w:val="00044745"/>
    <w:rsid w:val="00044A41"/>
    <w:rsid w:val="00050031"/>
    <w:rsid w:val="0005024E"/>
    <w:rsid w:val="0005261E"/>
    <w:rsid w:val="0005281F"/>
    <w:rsid w:val="00055518"/>
    <w:rsid w:val="000562C8"/>
    <w:rsid w:val="00056840"/>
    <w:rsid w:val="00060402"/>
    <w:rsid w:val="00060ABA"/>
    <w:rsid w:val="00061244"/>
    <w:rsid w:val="00065BEA"/>
    <w:rsid w:val="000671BB"/>
    <w:rsid w:val="00072EC7"/>
    <w:rsid w:val="0007339F"/>
    <w:rsid w:val="000733A0"/>
    <w:rsid w:val="00076318"/>
    <w:rsid w:val="00077DE5"/>
    <w:rsid w:val="0008052C"/>
    <w:rsid w:val="00080A59"/>
    <w:rsid w:val="00081137"/>
    <w:rsid w:val="00083127"/>
    <w:rsid w:val="000844F9"/>
    <w:rsid w:val="000854B0"/>
    <w:rsid w:val="00086ED4"/>
    <w:rsid w:val="0009034C"/>
    <w:rsid w:val="000905FA"/>
    <w:rsid w:val="000922D9"/>
    <w:rsid w:val="00092C4A"/>
    <w:rsid w:val="00094809"/>
    <w:rsid w:val="000958DB"/>
    <w:rsid w:val="000A13AC"/>
    <w:rsid w:val="000A378F"/>
    <w:rsid w:val="000A559A"/>
    <w:rsid w:val="000B1874"/>
    <w:rsid w:val="000B5260"/>
    <w:rsid w:val="000B71F3"/>
    <w:rsid w:val="000C006E"/>
    <w:rsid w:val="000C01E3"/>
    <w:rsid w:val="000C0B10"/>
    <w:rsid w:val="000C5F36"/>
    <w:rsid w:val="000C74C3"/>
    <w:rsid w:val="000D212A"/>
    <w:rsid w:val="000D4B55"/>
    <w:rsid w:val="000D4E41"/>
    <w:rsid w:val="000D5AC4"/>
    <w:rsid w:val="000D6E66"/>
    <w:rsid w:val="000D6FDB"/>
    <w:rsid w:val="000D74D9"/>
    <w:rsid w:val="000D7E32"/>
    <w:rsid w:val="000E030B"/>
    <w:rsid w:val="000E1A65"/>
    <w:rsid w:val="000E2AC3"/>
    <w:rsid w:val="000E2BBC"/>
    <w:rsid w:val="000E30CA"/>
    <w:rsid w:val="000E34B0"/>
    <w:rsid w:val="000E38DE"/>
    <w:rsid w:val="000E5374"/>
    <w:rsid w:val="000E5F9E"/>
    <w:rsid w:val="000E6712"/>
    <w:rsid w:val="000F0798"/>
    <w:rsid w:val="000F76C6"/>
    <w:rsid w:val="00107CF5"/>
    <w:rsid w:val="00107EE5"/>
    <w:rsid w:val="00110B84"/>
    <w:rsid w:val="00110F0D"/>
    <w:rsid w:val="00112570"/>
    <w:rsid w:val="00112E09"/>
    <w:rsid w:val="0012125B"/>
    <w:rsid w:val="00121841"/>
    <w:rsid w:val="00125FB5"/>
    <w:rsid w:val="00126496"/>
    <w:rsid w:val="0012767E"/>
    <w:rsid w:val="001338DA"/>
    <w:rsid w:val="001364D6"/>
    <w:rsid w:val="00136A34"/>
    <w:rsid w:val="001379BC"/>
    <w:rsid w:val="001407E0"/>
    <w:rsid w:val="0014294D"/>
    <w:rsid w:val="00142D1D"/>
    <w:rsid w:val="00144DD9"/>
    <w:rsid w:val="00145048"/>
    <w:rsid w:val="00145A02"/>
    <w:rsid w:val="00145D3E"/>
    <w:rsid w:val="00153D1E"/>
    <w:rsid w:val="001545E4"/>
    <w:rsid w:val="00155CEE"/>
    <w:rsid w:val="00160D71"/>
    <w:rsid w:val="0016425B"/>
    <w:rsid w:val="00172A57"/>
    <w:rsid w:val="00173BB1"/>
    <w:rsid w:val="00182739"/>
    <w:rsid w:val="001856D5"/>
    <w:rsid w:val="00186662"/>
    <w:rsid w:val="00186EA3"/>
    <w:rsid w:val="00194A0F"/>
    <w:rsid w:val="00194AAC"/>
    <w:rsid w:val="00196022"/>
    <w:rsid w:val="00196125"/>
    <w:rsid w:val="00196D0B"/>
    <w:rsid w:val="001A1335"/>
    <w:rsid w:val="001A1659"/>
    <w:rsid w:val="001A7204"/>
    <w:rsid w:val="001A7563"/>
    <w:rsid w:val="001A7721"/>
    <w:rsid w:val="001B1F3E"/>
    <w:rsid w:val="001B6653"/>
    <w:rsid w:val="001B6A43"/>
    <w:rsid w:val="001C0594"/>
    <w:rsid w:val="001C3FB2"/>
    <w:rsid w:val="001C5124"/>
    <w:rsid w:val="001C7B73"/>
    <w:rsid w:val="001D0A35"/>
    <w:rsid w:val="001D13E0"/>
    <w:rsid w:val="001D2AE3"/>
    <w:rsid w:val="001E1EEB"/>
    <w:rsid w:val="001E29A7"/>
    <w:rsid w:val="001E3893"/>
    <w:rsid w:val="001E38C6"/>
    <w:rsid w:val="001E5D7A"/>
    <w:rsid w:val="001E7DAD"/>
    <w:rsid w:val="001F064E"/>
    <w:rsid w:val="001F4A54"/>
    <w:rsid w:val="001F57CF"/>
    <w:rsid w:val="00201881"/>
    <w:rsid w:val="002029F2"/>
    <w:rsid w:val="0020330A"/>
    <w:rsid w:val="00204744"/>
    <w:rsid w:val="002152E7"/>
    <w:rsid w:val="00215B5D"/>
    <w:rsid w:val="00215E64"/>
    <w:rsid w:val="00216BB5"/>
    <w:rsid w:val="00220904"/>
    <w:rsid w:val="00220AE4"/>
    <w:rsid w:val="002212F1"/>
    <w:rsid w:val="00222001"/>
    <w:rsid w:val="0022488F"/>
    <w:rsid w:val="00227F10"/>
    <w:rsid w:val="0023098A"/>
    <w:rsid w:val="00231F74"/>
    <w:rsid w:val="00232579"/>
    <w:rsid w:val="00233523"/>
    <w:rsid w:val="00234966"/>
    <w:rsid w:val="00234EF8"/>
    <w:rsid w:val="002355FF"/>
    <w:rsid w:val="00237378"/>
    <w:rsid w:val="002425EA"/>
    <w:rsid w:val="00243201"/>
    <w:rsid w:val="002445AE"/>
    <w:rsid w:val="002457E2"/>
    <w:rsid w:val="00247C7B"/>
    <w:rsid w:val="00247DA0"/>
    <w:rsid w:val="0025068E"/>
    <w:rsid w:val="0025192D"/>
    <w:rsid w:val="00251E07"/>
    <w:rsid w:val="00253C08"/>
    <w:rsid w:val="00263EC5"/>
    <w:rsid w:val="0026457E"/>
    <w:rsid w:val="00266127"/>
    <w:rsid w:val="00266D9D"/>
    <w:rsid w:val="00274EE3"/>
    <w:rsid w:val="00275CCE"/>
    <w:rsid w:val="0027655A"/>
    <w:rsid w:val="002809EA"/>
    <w:rsid w:val="00281014"/>
    <w:rsid w:val="00283FA3"/>
    <w:rsid w:val="00285FD8"/>
    <w:rsid w:val="00287202"/>
    <w:rsid w:val="00290F64"/>
    <w:rsid w:val="0029123D"/>
    <w:rsid w:val="00291A3A"/>
    <w:rsid w:val="00291CEA"/>
    <w:rsid w:val="00294309"/>
    <w:rsid w:val="002A4C4D"/>
    <w:rsid w:val="002B020E"/>
    <w:rsid w:val="002B1248"/>
    <w:rsid w:val="002B1F3C"/>
    <w:rsid w:val="002B2351"/>
    <w:rsid w:val="002B3A24"/>
    <w:rsid w:val="002B5138"/>
    <w:rsid w:val="002C1123"/>
    <w:rsid w:val="002C1B4B"/>
    <w:rsid w:val="002C28FF"/>
    <w:rsid w:val="002C537F"/>
    <w:rsid w:val="002C6C1D"/>
    <w:rsid w:val="002C72DC"/>
    <w:rsid w:val="002C76DC"/>
    <w:rsid w:val="002D3141"/>
    <w:rsid w:val="002D3E35"/>
    <w:rsid w:val="002D4143"/>
    <w:rsid w:val="002D62FB"/>
    <w:rsid w:val="002D67DC"/>
    <w:rsid w:val="002D6AB1"/>
    <w:rsid w:val="002E193F"/>
    <w:rsid w:val="002E3921"/>
    <w:rsid w:val="002E4295"/>
    <w:rsid w:val="002E454F"/>
    <w:rsid w:val="002E4C50"/>
    <w:rsid w:val="002E5CDF"/>
    <w:rsid w:val="002E62A8"/>
    <w:rsid w:val="002F437F"/>
    <w:rsid w:val="002F5ACA"/>
    <w:rsid w:val="002F6C3E"/>
    <w:rsid w:val="002F7315"/>
    <w:rsid w:val="00300A2F"/>
    <w:rsid w:val="00300C9E"/>
    <w:rsid w:val="00302E3A"/>
    <w:rsid w:val="00302FD0"/>
    <w:rsid w:val="00305F6F"/>
    <w:rsid w:val="0031039E"/>
    <w:rsid w:val="00310497"/>
    <w:rsid w:val="00310BAC"/>
    <w:rsid w:val="003120EE"/>
    <w:rsid w:val="003125A6"/>
    <w:rsid w:val="00312A77"/>
    <w:rsid w:val="00312D80"/>
    <w:rsid w:val="003146C8"/>
    <w:rsid w:val="00314B54"/>
    <w:rsid w:val="00315A77"/>
    <w:rsid w:val="00315D58"/>
    <w:rsid w:val="00317D58"/>
    <w:rsid w:val="00320050"/>
    <w:rsid w:val="003201A8"/>
    <w:rsid w:val="00320786"/>
    <w:rsid w:val="003207FC"/>
    <w:rsid w:val="0032522D"/>
    <w:rsid w:val="00325592"/>
    <w:rsid w:val="00325992"/>
    <w:rsid w:val="00333F63"/>
    <w:rsid w:val="003409D7"/>
    <w:rsid w:val="00341524"/>
    <w:rsid w:val="00342007"/>
    <w:rsid w:val="00343010"/>
    <w:rsid w:val="00346348"/>
    <w:rsid w:val="003505FB"/>
    <w:rsid w:val="00351A37"/>
    <w:rsid w:val="00355DA2"/>
    <w:rsid w:val="003560C4"/>
    <w:rsid w:val="003576AE"/>
    <w:rsid w:val="0036023C"/>
    <w:rsid w:val="00360445"/>
    <w:rsid w:val="00362F19"/>
    <w:rsid w:val="00364378"/>
    <w:rsid w:val="00365982"/>
    <w:rsid w:val="003668F2"/>
    <w:rsid w:val="003670CA"/>
    <w:rsid w:val="003702F0"/>
    <w:rsid w:val="00375114"/>
    <w:rsid w:val="003768D4"/>
    <w:rsid w:val="0037696D"/>
    <w:rsid w:val="00376982"/>
    <w:rsid w:val="003776DA"/>
    <w:rsid w:val="0037782B"/>
    <w:rsid w:val="00380CA3"/>
    <w:rsid w:val="00383AB3"/>
    <w:rsid w:val="00386705"/>
    <w:rsid w:val="00387028"/>
    <w:rsid w:val="00387707"/>
    <w:rsid w:val="003877AE"/>
    <w:rsid w:val="00387916"/>
    <w:rsid w:val="00395CC3"/>
    <w:rsid w:val="00396D09"/>
    <w:rsid w:val="003A0074"/>
    <w:rsid w:val="003A15B4"/>
    <w:rsid w:val="003A2147"/>
    <w:rsid w:val="003A2BBB"/>
    <w:rsid w:val="003B03F3"/>
    <w:rsid w:val="003B0F80"/>
    <w:rsid w:val="003B19B9"/>
    <w:rsid w:val="003B2C95"/>
    <w:rsid w:val="003B30D2"/>
    <w:rsid w:val="003B330F"/>
    <w:rsid w:val="003B3B92"/>
    <w:rsid w:val="003B3BE8"/>
    <w:rsid w:val="003B6BB2"/>
    <w:rsid w:val="003C10C7"/>
    <w:rsid w:val="003C317A"/>
    <w:rsid w:val="003C6073"/>
    <w:rsid w:val="003C7929"/>
    <w:rsid w:val="003D1081"/>
    <w:rsid w:val="003D222B"/>
    <w:rsid w:val="003D5D3D"/>
    <w:rsid w:val="003D72CE"/>
    <w:rsid w:val="003E19E5"/>
    <w:rsid w:val="003E37F1"/>
    <w:rsid w:val="003E472A"/>
    <w:rsid w:val="003E4CE1"/>
    <w:rsid w:val="003F1CAE"/>
    <w:rsid w:val="003F3E2E"/>
    <w:rsid w:val="003F4F9E"/>
    <w:rsid w:val="003F5EEF"/>
    <w:rsid w:val="003F796E"/>
    <w:rsid w:val="00400355"/>
    <w:rsid w:val="00402B9F"/>
    <w:rsid w:val="00403BAC"/>
    <w:rsid w:val="00403D59"/>
    <w:rsid w:val="00404278"/>
    <w:rsid w:val="00404365"/>
    <w:rsid w:val="0040516F"/>
    <w:rsid w:val="0040604D"/>
    <w:rsid w:val="004114DB"/>
    <w:rsid w:val="00422004"/>
    <w:rsid w:val="00422A14"/>
    <w:rsid w:val="00422A65"/>
    <w:rsid w:val="00424158"/>
    <w:rsid w:val="0043041E"/>
    <w:rsid w:val="00431233"/>
    <w:rsid w:val="00432945"/>
    <w:rsid w:val="00435B8C"/>
    <w:rsid w:val="00437092"/>
    <w:rsid w:val="00441B80"/>
    <w:rsid w:val="00442F3D"/>
    <w:rsid w:val="004430C9"/>
    <w:rsid w:val="00445F82"/>
    <w:rsid w:val="00447540"/>
    <w:rsid w:val="0045106E"/>
    <w:rsid w:val="00452835"/>
    <w:rsid w:val="00452F35"/>
    <w:rsid w:val="0045499D"/>
    <w:rsid w:val="00454A6B"/>
    <w:rsid w:val="0045637A"/>
    <w:rsid w:val="00460B8C"/>
    <w:rsid w:val="00461614"/>
    <w:rsid w:val="0046355F"/>
    <w:rsid w:val="004662E4"/>
    <w:rsid w:val="004677F5"/>
    <w:rsid w:val="00467D07"/>
    <w:rsid w:val="0047061A"/>
    <w:rsid w:val="004706C8"/>
    <w:rsid w:val="00470827"/>
    <w:rsid w:val="0047298E"/>
    <w:rsid w:val="004732F1"/>
    <w:rsid w:val="00473360"/>
    <w:rsid w:val="0047509E"/>
    <w:rsid w:val="00477030"/>
    <w:rsid w:val="004772F5"/>
    <w:rsid w:val="00480781"/>
    <w:rsid w:val="004818E7"/>
    <w:rsid w:val="00486B59"/>
    <w:rsid w:val="00491EB6"/>
    <w:rsid w:val="00493DEB"/>
    <w:rsid w:val="004954FC"/>
    <w:rsid w:val="00497FEA"/>
    <w:rsid w:val="004A0635"/>
    <w:rsid w:val="004A1145"/>
    <w:rsid w:val="004A1615"/>
    <w:rsid w:val="004A2480"/>
    <w:rsid w:val="004A655C"/>
    <w:rsid w:val="004A6CC5"/>
    <w:rsid w:val="004B059E"/>
    <w:rsid w:val="004B3CC8"/>
    <w:rsid w:val="004B576F"/>
    <w:rsid w:val="004C29E0"/>
    <w:rsid w:val="004C2E11"/>
    <w:rsid w:val="004C44E7"/>
    <w:rsid w:val="004C470F"/>
    <w:rsid w:val="004C4BB4"/>
    <w:rsid w:val="004C540E"/>
    <w:rsid w:val="004C76ED"/>
    <w:rsid w:val="004C7AAD"/>
    <w:rsid w:val="004D150A"/>
    <w:rsid w:val="004D1B52"/>
    <w:rsid w:val="004D23F9"/>
    <w:rsid w:val="004D7FF1"/>
    <w:rsid w:val="004E0547"/>
    <w:rsid w:val="004E3866"/>
    <w:rsid w:val="004E7752"/>
    <w:rsid w:val="004F0A43"/>
    <w:rsid w:val="004F1AB0"/>
    <w:rsid w:val="004F2392"/>
    <w:rsid w:val="004F493B"/>
    <w:rsid w:val="004F5A1D"/>
    <w:rsid w:val="004F7691"/>
    <w:rsid w:val="0050197F"/>
    <w:rsid w:val="00505178"/>
    <w:rsid w:val="005058B1"/>
    <w:rsid w:val="00510613"/>
    <w:rsid w:val="00510793"/>
    <w:rsid w:val="00512799"/>
    <w:rsid w:val="00512863"/>
    <w:rsid w:val="00514D2D"/>
    <w:rsid w:val="00515F6D"/>
    <w:rsid w:val="00516817"/>
    <w:rsid w:val="00516982"/>
    <w:rsid w:val="00520116"/>
    <w:rsid w:val="00520B8F"/>
    <w:rsid w:val="00521233"/>
    <w:rsid w:val="0052182D"/>
    <w:rsid w:val="00521BB9"/>
    <w:rsid w:val="00521C18"/>
    <w:rsid w:val="005229C5"/>
    <w:rsid w:val="00526583"/>
    <w:rsid w:val="00527DA5"/>
    <w:rsid w:val="00530C76"/>
    <w:rsid w:val="00531D56"/>
    <w:rsid w:val="005329CD"/>
    <w:rsid w:val="00533046"/>
    <w:rsid w:val="00533849"/>
    <w:rsid w:val="00533876"/>
    <w:rsid w:val="00534E9A"/>
    <w:rsid w:val="00536558"/>
    <w:rsid w:val="00536B00"/>
    <w:rsid w:val="00537697"/>
    <w:rsid w:val="00537B90"/>
    <w:rsid w:val="00537CA9"/>
    <w:rsid w:val="00540BDD"/>
    <w:rsid w:val="00543FA5"/>
    <w:rsid w:val="005442C9"/>
    <w:rsid w:val="005445A3"/>
    <w:rsid w:val="0054498A"/>
    <w:rsid w:val="00544A47"/>
    <w:rsid w:val="00545ACD"/>
    <w:rsid w:val="005466A7"/>
    <w:rsid w:val="00552943"/>
    <w:rsid w:val="00553162"/>
    <w:rsid w:val="00560CD5"/>
    <w:rsid w:val="00562C2F"/>
    <w:rsid w:val="00567CF8"/>
    <w:rsid w:val="005719E1"/>
    <w:rsid w:val="00572B96"/>
    <w:rsid w:val="005731C1"/>
    <w:rsid w:val="005750D6"/>
    <w:rsid w:val="00576FDD"/>
    <w:rsid w:val="005808CD"/>
    <w:rsid w:val="00580D61"/>
    <w:rsid w:val="00580E46"/>
    <w:rsid w:val="00581876"/>
    <w:rsid w:val="00581F84"/>
    <w:rsid w:val="005842E9"/>
    <w:rsid w:val="00584D4D"/>
    <w:rsid w:val="00584DA0"/>
    <w:rsid w:val="005867BD"/>
    <w:rsid w:val="00595A54"/>
    <w:rsid w:val="005960A1"/>
    <w:rsid w:val="005A0F27"/>
    <w:rsid w:val="005A2001"/>
    <w:rsid w:val="005A4595"/>
    <w:rsid w:val="005A51A4"/>
    <w:rsid w:val="005A5504"/>
    <w:rsid w:val="005A5FA6"/>
    <w:rsid w:val="005A73B6"/>
    <w:rsid w:val="005B02FC"/>
    <w:rsid w:val="005B4E60"/>
    <w:rsid w:val="005B4EA8"/>
    <w:rsid w:val="005B57F5"/>
    <w:rsid w:val="005B67A9"/>
    <w:rsid w:val="005C03C1"/>
    <w:rsid w:val="005C1E32"/>
    <w:rsid w:val="005C2BF2"/>
    <w:rsid w:val="005C3849"/>
    <w:rsid w:val="005C413D"/>
    <w:rsid w:val="005C57ED"/>
    <w:rsid w:val="005D03B5"/>
    <w:rsid w:val="005D13CA"/>
    <w:rsid w:val="005D14F6"/>
    <w:rsid w:val="005D1B17"/>
    <w:rsid w:val="005D2006"/>
    <w:rsid w:val="005D6AA3"/>
    <w:rsid w:val="005E217B"/>
    <w:rsid w:val="005E27B8"/>
    <w:rsid w:val="005E528F"/>
    <w:rsid w:val="005E778B"/>
    <w:rsid w:val="005E7B09"/>
    <w:rsid w:val="005F0CAD"/>
    <w:rsid w:val="005F1F41"/>
    <w:rsid w:val="005F3E8C"/>
    <w:rsid w:val="00600628"/>
    <w:rsid w:val="006013F4"/>
    <w:rsid w:val="00602822"/>
    <w:rsid w:val="00602C5A"/>
    <w:rsid w:val="00605BDD"/>
    <w:rsid w:val="006102B8"/>
    <w:rsid w:val="00610375"/>
    <w:rsid w:val="00610BAA"/>
    <w:rsid w:val="0061122E"/>
    <w:rsid w:val="006123C5"/>
    <w:rsid w:val="00612FF2"/>
    <w:rsid w:val="00613EC0"/>
    <w:rsid w:val="00616D00"/>
    <w:rsid w:val="00617B08"/>
    <w:rsid w:val="0062035A"/>
    <w:rsid w:val="00621124"/>
    <w:rsid w:val="00621655"/>
    <w:rsid w:val="00621FA0"/>
    <w:rsid w:val="00622046"/>
    <w:rsid w:val="006257B2"/>
    <w:rsid w:val="006312EF"/>
    <w:rsid w:val="00633448"/>
    <w:rsid w:val="00634C9C"/>
    <w:rsid w:val="00636814"/>
    <w:rsid w:val="006409FC"/>
    <w:rsid w:val="0064306A"/>
    <w:rsid w:val="0064464A"/>
    <w:rsid w:val="006473B2"/>
    <w:rsid w:val="0065047F"/>
    <w:rsid w:val="006528A0"/>
    <w:rsid w:val="0065701F"/>
    <w:rsid w:val="00661BB5"/>
    <w:rsid w:val="00664214"/>
    <w:rsid w:val="006646FB"/>
    <w:rsid w:val="00666D99"/>
    <w:rsid w:val="00671761"/>
    <w:rsid w:val="00671B60"/>
    <w:rsid w:val="00671FA4"/>
    <w:rsid w:val="00672157"/>
    <w:rsid w:val="006733D9"/>
    <w:rsid w:val="00673ACA"/>
    <w:rsid w:val="0067439B"/>
    <w:rsid w:val="00674ACE"/>
    <w:rsid w:val="00674FDF"/>
    <w:rsid w:val="006765A6"/>
    <w:rsid w:val="00676B04"/>
    <w:rsid w:val="00676D3B"/>
    <w:rsid w:val="00677829"/>
    <w:rsid w:val="00682FB5"/>
    <w:rsid w:val="006830E9"/>
    <w:rsid w:val="00684326"/>
    <w:rsid w:val="00686B87"/>
    <w:rsid w:val="00686BD5"/>
    <w:rsid w:val="00693C2A"/>
    <w:rsid w:val="006967D5"/>
    <w:rsid w:val="00697675"/>
    <w:rsid w:val="006A0FCA"/>
    <w:rsid w:val="006A1FCE"/>
    <w:rsid w:val="006A2B60"/>
    <w:rsid w:val="006A4AB0"/>
    <w:rsid w:val="006A562B"/>
    <w:rsid w:val="006A60DC"/>
    <w:rsid w:val="006B316F"/>
    <w:rsid w:val="006B4252"/>
    <w:rsid w:val="006B4FD0"/>
    <w:rsid w:val="006B5C14"/>
    <w:rsid w:val="006B6845"/>
    <w:rsid w:val="006B7DBE"/>
    <w:rsid w:val="006C08CB"/>
    <w:rsid w:val="006C11CD"/>
    <w:rsid w:val="006C66CB"/>
    <w:rsid w:val="006C6DD4"/>
    <w:rsid w:val="006C750D"/>
    <w:rsid w:val="006D5F1B"/>
    <w:rsid w:val="006D5F83"/>
    <w:rsid w:val="006D6DCA"/>
    <w:rsid w:val="006E1D15"/>
    <w:rsid w:val="006E1FDE"/>
    <w:rsid w:val="006E45FB"/>
    <w:rsid w:val="006E6B30"/>
    <w:rsid w:val="006E6E12"/>
    <w:rsid w:val="006F05D2"/>
    <w:rsid w:val="006F43FD"/>
    <w:rsid w:val="006F4428"/>
    <w:rsid w:val="006F7053"/>
    <w:rsid w:val="006F7894"/>
    <w:rsid w:val="0070037F"/>
    <w:rsid w:val="00701D65"/>
    <w:rsid w:val="007023C8"/>
    <w:rsid w:val="00702E13"/>
    <w:rsid w:val="00703C9E"/>
    <w:rsid w:val="00704D77"/>
    <w:rsid w:val="00706E6B"/>
    <w:rsid w:val="00713CA7"/>
    <w:rsid w:val="00723604"/>
    <w:rsid w:val="007237A6"/>
    <w:rsid w:val="00731FEA"/>
    <w:rsid w:val="00732BCD"/>
    <w:rsid w:val="00734B10"/>
    <w:rsid w:val="00747352"/>
    <w:rsid w:val="00750018"/>
    <w:rsid w:val="00750E19"/>
    <w:rsid w:val="0075191C"/>
    <w:rsid w:val="007549B6"/>
    <w:rsid w:val="007554FC"/>
    <w:rsid w:val="007569EC"/>
    <w:rsid w:val="007603EA"/>
    <w:rsid w:val="00761581"/>
    <w:rsid w:val="00763F17"/>
    <w:rsid w:val="0076541A"/>
    <w:rsid w:val="00766162"/>
    <w:rsid w:val="00766508"/>
    <w:rsid w:val="00766DE4"/>
    <w:rsid w:val="00773F2B"/>
    <w:rsid w:val="00775682"/>
    <w:rsid w:val="007821AB"/>
    <w:rsid w:val="0078277A"/>
    <w:rsid w:val="00782F87"/>
    <w:rsid w:val="00785E06"/>
    <w:rsid w:val="0078702C"/>
    <w:rsid w:val="00787656"/>
    <w:rsid w:val="00792592"/>
    <w:rsid w:val="00792CEC"/>
    <w:rsid w:val="00792D82"/>
    <w:rsid w:val="00793378"/>
    <w:rsid w:val="007A41D5"/>
    <w:rsid w:val="007A4A57"/>
    <w:rsid w:val="007A5200"/>
    <w:rsid w:val="007A5421"/>
    <w:rsid w:val="007A5C84"/>
    <w:rsid w:val="007B0FDD"/>
    <w:rsid w:val="007B4009"/>
    <w:rsid w:val="007B6B21"/>
    <w:rsid w:val="007B7562"/>
    <w:rsid w:val="007B7763"/>
    <w:rsid w:val="007C03C8"/>
    <w:rsid w:val="007C0E36"/>
    <w:rsid w:val="007C308F"/>
    <w:rsid w:val="007C53C4"/>
    <w:rsid w:val="007C569E"/>
    <w:rsid w:val="007C6673"/>
    <w:rsid w:val="007D0430"/>
    <w:rsid w:val="007D1184"/>
    <w:rsid w:val="007D23D0"/>
    <w:rsid w:val="007D2FE1"/>
    <w:rsid w:val="007D5D18"/>
    <w:rsid w:val="007D7DFA"/>
    <w:rsid w:val="007E0328"/>
    <w:rsid w:val="007E2B81"/>
    <w:rsid w:val="007E4789"/>
    <w:rsid w:val="007E54DF"/>
    <w:rsid w:val="007E6E65"/>
    <w:rsid w:val="007F0062"/>
    <w:rsid w:val="007F1DDE"/>
    <w:rsid w:val="007F433A"/>
    <w:rsid w:val="007F6BAC"/>
    <w:rsid w:val="007F72B6"/>
    <w:rsid w:val="008027AF"/>
    <w:rsid w:val="00803318"/>
    <w:rsid w:val="008051A6"/>
    <w:rsid w:val="00805CD2"/>
    <w:rsid w:val="008063C8"/>
    <w:rsid w:val="00806F10"/>
    <w:rsid w:val="00810C4B"/>
    <w:rsid w:val="00812EC0"/>
    <w:rsid w:val="008164AF"/>
    <w:rsid w:val="00820CB5"/>
    <w:rsid w:val="00833250"/>
    <w:rsid w:val="008351B4"/>
    <w:rsid w:val="008351E9"/>
    <w:rsid w:val="00835B64"/>
    <w:rsid w:val="00835D4A"/>
    <w:rsid w:val="008376AA"/>
    <w:rsid w:val="008411D0"/>
    <w:rsid w:val="0084581D"/>
    <w:rsid w:val="00845D84"/>
    <w:rsid w:val="0084633B"/>
    <w:rsid w:val="00850591"/>
    <w:rsid w:val="0085584B"/>
    <w:rsid w:val="0085716A"/>
    <w:rsid w:val="0085732D"/>
    <w:rsid w:val="00857E75"/>
    <w:rsid w:val="008629DE"/>
    <w:rsid w:val="0086402E"/>
    <w:rsid w:val="00866858"/>
    <w:rsid w:val="008676FD"/>
    <w:rsid w:val="0087223B"/>
    <w:rsid w:val="00874876"/>
    <w:rsid w:val="008775C4"/>
    <w:rsid w:val="008816D8"/>
    <w:rsid w:val="00884385"/>
    <w:rsid w:val="00886C09"/>
    <w:rsid w:val="00887046"/>
    <w:rsid w:val="0089391F"/>
    <w:rsid w:val="008A0140"/>
    <w:rsid w:val="008A03B0"/>
    <w:rsid w:val="008A09A5"/>
    <w:rsid w:val="008A50B1"/>
    <w:rsid w:val="008A5BA9"/>
    <w:rsid w:val="008A6C9E"/>
    <w:rsid w:val="008B0147"/>
    <w:rsid w:val="008B03E2"/>
    <w:rsid w:val="008B34CF"/>
    <w:rsid w:val="008B4FEC"/>
    <w:rsid w:val="008B6288"/>
    <w:rsid w:val="008C02F6"/>
    <w:rsid w:val="008C485E"/>
    <w:rsid w:val="008D06CE"/>
    <w:rsid w:val="008D129C"/>
    <w:rsid w:val="008D1C6F"/>
    <w:rsid w:val="008D2EF0"/>
    <w:rsid w:val="008D4D3E"/>
    <w:rsid w:val="008E19BB"/>
    <w:rsid w:val="008E1B6C"/>
    <w:rsid w:val="008E582A"/>
    <w:rsid w:val="008E65C7"/>
    <w:rsid w:val="008E6CE5"/>
    <w:rsid w:val="008E6E54"/>
    <w:rsid w:val="008E7FB9"/>
    <w:rsid w:val="008F0856"/>
    <w:rsid w:val="008F3FD2"/>
    <w:rsid w:val="008F5B8D"/>
    <w:rsid w:val="008F625C"/>
    <w:rsid w:val="008F6C10"/>
    <w:rsid w:val="008F6C16"/>
    <w:rsid w:val="00900177"/>
    <w:rsid w:val="00901090"/>
    <w:rsid w:val="009012A6"/>
    <w:rsid w:val="00902A52"/>
    <w:rsid w:val="00903A1B"/>
    <w:rsid w:val="00904E3A"/>
    <w:rsid w:val="00906745"/>
    <w:rsid w:val="00906CF3"/>
    <w:rsid w:val="00906D96"/>
    <w:rsid w:val="00906DB6"/>
    <w:rsid w:val="0090709B"/>
    <w:rsid w:val="009076ED"/>
    <w:rsid w:val="00911E3B"/>
    <w:rsid w:val="009120C5"/>
    <w:rsid w:val="009145F1"/>
    <w:rsid w:val="00914EAB"/>
    <w:rsid w:val="00920F4F"/>
    <w:rsid w:val="009212E2"/>
    <w:rsid w:val="00922422"/>
    <w:rsid w:val="009241EA"/>
    <w:rsid w:val="00924422"/>
    <w:rsid w:val="0092671C"/>
    <w:rsid w:val="00927244"/>
    <w:rsid w:val="00930567"/>
    <w:rsid w:val="00930D11"/>
    <w:rsid w:val="00932D1F"/>
    <w:rsid w:val="009358CB"/>
    <w:rsid w:val="009360AE"/>
    <w:rsid w:val="00936382"/>
    <w:rsid w:val="009363AA"/>
    <w:rsid w:val="009364ED"/>
    <w:rsid w:val="00937AA6"/>
    <w:rsid w:val="00937FD8"/>
    <w:rsid w:val="00940BD6"/>
    <w:rsid w:val="009411AF"/>
    <w:rsid w:val="0094135A"/>
    <w:rsid w:val="00941E1D"/>
    <w:rsid w:val="0094398A"/>
    <w:rsid w:val="009440BB"/>
    <w:rsid w:val="00945955"/>
    <w:rsid w:val="009461EC"/>
    <w:rsid w:val="00947E1C"/>
    <w:rsid w:val="00950211"/>
    <w:rsid w:val="00950FB1"/>
    <w:rsid w:val="009514AE"/>
    <w:rsid w:val="0095371F"/>
    <w:rsid w:val="009568DB"/>
    <w:rsid w:val="0095700D"/>
    <w:rsid w:val="00957D71"/>
    <w:rsid w:val="00962686"/>
    <w:rsid w:val="009633BB"/>
    <w:rsid w:val="00966083"/>
    <w:rsid w:val="009664CF"/>
    <w:rsid w:val="00966EFB"/>
    <w:rsid w:val="00966F2C"/>
    <w:rsid w:val="009730A7"/>
    <w:rsid w:val="009730D0"/>
    <w:rsid w:val="00976C66"/>
    <w:rsid w:val="00977FAA"/>
    <w:rsid w:val="009831DC"/>
    <w:rsid w:val="009836D6"/>
    <w:rsid w:val="009861C2"/>
    <w:rsid w:val="00992134"/>
    <w:rsid w:val="00993775"/>
    <w:rsid w:val="009952C7"/>
    <w:rsid w:val="00995784"/>
    <w:rsid w:val="00995F92"/>
    <w:rsid w:val="009A064A"/>
    <w:rsid w:val="009A3959"/>
    <w:rsid w:val="009A52F1"/>
    <w:rsid w:val="009A6B1A"/>
    <w:rsid w:val="009A729B"/>
    <w:rsid w:val="009B03AB"/>
    <w:rsid w:val="009B1378"/>
    <w:rsid w:val="009B328D"/>
    <w:rsid w:val="009C19BA"/>
    <w:rsid w:val="009C4977"/>
    <w:rsid w:val="009D4299"/>
    <w:rsid w:val="009D7B0C"/>
    <w:rsid w:val="009D7BE7"/>
    <w:rsid w:val="009E0C2A"/>
    <w:rsid w:val="009E1ED9"/>
    <w:rsid w:val="009E2537"/>
    <w:rsid w:val="009E2DEE"/>
    <w:rsid w:val="009E44E7"/>
    <w:rsid w:val="009F1D15"/>
    <w:rsid w:val="009F6AC2"/>
    <w:rsid w:val="009F7483"/>
    <w:rsid w:val="009F7D20"/>
    <w:rsid w:val="00A0111E"/>
    <w:rsid w:val="00A020D7"/>
    <w:rsid w:val="00A023BF"/>
    <w:rsid w:val="00A04983"/>
    <w:rsid w:val="00A054B0"/>
    <w:rsid w:val="00A06BF1"/>
    <w:rsid w:val="00A06D49"/>
    <w:rsid w:val="00A10A0A"/>
    <w:rsid w:val="00A10D96"/>
    <w:rsid w:val="00A12106"/>
    <w:rsid w:val="00A12529"/>
    <w:rsid w:val="00A1374A"/>
    <w:rsid w:val="00A13DAD"/>
    <w:rsid w:val="00A14B9F"/>
    <w:rsid w:val="00A14DF1"/>
    <w:rsid w:val="00A151E8"/>
    <w:rsid w:val="00A16FA0"/>
    <w:rsid w:val="00A17EE2"/>
    <w:rsid w:val="00A21297"/>
    <w:rsid w:val="00A23A90"/>
    <w:rsid w:val="00A23D26"/>
    <w:rsid w:val="00A24A5A"/>
    <w:rsid w:val="00A24D1C"/>
    <w:rsid w:val="00A256B9"/>
    <w:rsid w:val="00A2795A"/>
    <w:rsid w:val="00A34C67"/>
    <w:rsid w:val="00A379A6"/>
    <w:rsid w:val="00A37FB7"/>
    <w:rsid w:val="00A41EEC"/>
    <w:rsid w:val="00A41FBB"/>
    <w:rsid w:val="00A429DC"/>
    <w:rsid w:val="00A4330D"/>
    <w:rsid w:val="00A4354A"/>
    <w:rsid w:val="00A43828"/>
    <w:rsid w:val="00A4426B"/>
    <w:rsid w:val="00A44AB4"/>
    <w:rsid w:val="00A44F51"/>
    <w:rsid w:val="00A45C16"/>
    <w:rsid w:val="00A45FD2"/>
    <w:rsid w:val="00A4600F"/>
    <w:rsid w:val="00A4619C"/>
    <w:rsid w:val="00A47589"/>
    <w:rsid w:val="00A50DCD"/>
    <w:rsid w:val="00A50F46"/>
    <w:rsid w:val="00A51C5D"/>
    <w:rsid w:val="00A52176"/>
    <w:rsid w:val="00A53468"/>
    <w:rsid w:val="00A55546"/>
    <w:rsid w:val="00A5623C"/>
    <w:rsid w:val="00A60E79"/>
    <w:rsid w:val="00A6168C"/>
    <w:rsid w:val="00A61AF6"/>
    <w:rsid w:val="00A61EA7"/>
    <w:rsid w:val="00A61F7E"/>
    <w:rsid w:val="00A61F93"/>
    <w:rsid w:val="00A660C3"/>
    <w:rsid w:val="00A678E9"/>
    <w:rsid w:val="00A70A97"/>
    <w:rsid w:val="00A7161A"/>
    <w:rsid w:val="00A72197"/>
    <w:rsid w:val="00A73316"/>
    <w:rsid w:val="00A74BB4"/>
    <w:rsid w:val="00A810FD"/>
    <w:rsid w:val="00A82BAB"/>
    <w:rsid w:val="00A9090F"/>
    <w:rsid w:val="00A924CA"/>
    <w:rsid w:val="00A94296"/>
    <w:rsid w:val="00A95AD4"/>
    <w:rsid w:val="00AA6249"/>
    <w:rsid w:val="00AB2691"/>
    <w:rsid w:val="00AB4833"/>
    <w:rsid w:val="00AB4BB6"/>
    <w:rsid w:val="00AB78F4"/>
    <w:rsid w:val="00AC0A23"/>
    <w:rsid w:val="00AC215C"/>
    <w:rsid w:val="00AC2807"/>
    <w:rsid w:val="00AC2C3E"/>
    <w:rsid w:val="00AC3F97"/>
    <w:rsid w:val="00AC5D20"/>
    <w:rsid w:val="00AC5E23"/>
    <w:rsid w:val="00AC6A5B"/>
    <w:rsid w:val="00AD22BF"/>
    <w:rsid w:val="00AD2612"/>
    <w:rsid w:val="00AD269B"/>
    <w:rsid w:val="00AD4146"/>
    <w:rsid w:val="00AD4D1B"/>
    <w:rsid w:val="00AD6326"/>
    <w:rsid w:val="00AD79D8"/>
    <w:rsid w:val="00AE1478"/>
    <w:rsid w:val="00AE1666"/>
    <w:rsid w:val="00AE3A80"/>
    <w:rsid w:val="00AE50E8"/>
    <w:rsid w:val="00AF0A94"/>
    <w:rsid w:val="00AF1C6D"/>
    <w:rsid w:val="00AF2AE7"/>
    <w:rsid w:val="00AF392C"/>
    <w:rsid w:val="00B017CD"/>
    <w:rsid w:val="00B02997"/>
    <w:rsid w:val="00B02A49"/>
    <w:rsid w:val="00B02E87"/>
    <w:rsid w:val="00B05A06"/>
    <w:rsid w:val="00B0621B"/>
    <w:rsid w:val="00B06E8D"/>
    <w:rsid w:val="00B07E42"/>
    <w:rsid w:val="00B07F70"/>
    <w:rsid w:val="00B107D7"/>
    <w:rsid w:val="00B12D51"/>
    <w:rsid w:val="00B1370F"/>
    <w:rsid w:val="00B13872"/>
    <w:rsid w:val="00B141E4"/>
    <w:rsid w:val="00B165FB"/>
    <w:rsid w:val="00B215FA"/>
    <w:rsid w:val="00B2244F"/>
    <w:rsid w:val="00B23DEE"/>
    <w:rsid w:val="00B24DFE"/>
    <w:rsid w:val="00B3138B"/>
    <w:rsid w:val="00B31AA5"/>
    <w:rsid w:val="00B324EC"/>
    <w:rsid w:val="00B35F61"/>
    <w:rsid w:val="00B37A92"/>
    <w:rsid w:val="00B41CB1"/>
    <w:rsid w:val="00B42A41"/>
    <w:rsid w:val="00B50A83"/>
    <w:rsid w:val="00B51301"/>
    <w:rsid w:val="00B55389"/>
    <w:rsid w:val="00B56E3C"/>
    <w:rsid w:val="00B57E4D"/>
    <w:rsid w:val="00B60CAF"/>
    <w:rsid w:val="00B62F04"/>
    <w:rsid w:val="00B6461E"/>
    <w:rsid w:val="00B74915"/>
    <w:rsid w:val="00B75B60"/>
    <w:rsid w:val="00B764FC"/>
    <w:rsid w:val="00B77734"/>
    <w:rsid w:val="00B77C23"/>
    <w:rsid w:val="00B77DAF"/>
    <w:rsid w:val="00B8158F"/>
    <w:rsid w:val="00B81A05"/>
    <w:rsid w:val="00B82261"/>
    <w:rsid w:val="00B8597D"/>
    <w:rsid w:val="00B8597E"/>
    <w:rsid w:val="00B85FA7"/>
    <w:rsid w:val="00B8646A"/>
    <w:rsid w:val="00B86783"/>
    <w:rsid w:val="00B9025C"/>
    <w:rsid w:val="00B92C72"/>
    <w:rsid w:val="00B92CC3"/>
    <w:rsid w:val="00B938B2"/>
    <w:rsid w:val="00B94105"/>
    <w:rsid w:val="00B94253"/>
    <w:rsid w:val="00B9610F"/>
    <w:rsid w:val="00B96D1E"/>
    <w:rsid w:val="00BA3C29"/>
    <w:rsid w:val="00BA3F50"/>
    <w:rsid w:val="00BA45D5"/>
    <w:rsid w:val="00BA5E6C"/>
    <w:rsid w:val="00BA6814"/>
    <w:rsid w:val="00BA753D"/>
    <w:rsid w:val="00BB15F7"/>
    <w:rsid w:val="00BB4EEF"/>
    <w:rsid w:val="00BB7742"/>
    <w:rsid w:val="00BC13F4"/>
    <w:rsid w:val="00BC5B86"/>
    <w:rsid w:val="00BC6EF0"/>
    <w:rsid w:val="00BC7643"/>
    <w:rsid w:val="00BD065D"/>
    <w:rsid w:val="00BD51E2"/>
    <w:rsid w:val="00BD52C6"/>
    <w:rsid w:val="00BD7067"/>
    <w:rsid w:val="00BD71C1"/>
    <w:rsid w:val="00BD7A74"/>
    <w:rsid w:val="00BD7D91"/>
    <w:rsid w:val="00BE2693"/>
    <w:rsid w:val="00BE6B41"/>
    <w:rsid w:val="00BF0B9D"/>
    <w:rsid w:val="00BF28FD"/>
    <w:rsid w:val="00BF401A"/>
    <w:rsid w:val="00BF4BDE"/>
    <w:rsid w:val="00BF5E59"/>
    <w:rsid w:val="00BF7AB3"/>
    <w:rsid w:val="00C0090F"/>
    <w:rsid w:val="00C01B42"/>
    <w:rsid w:val="00C01FB7"/>
    <w:rsid w:val="00C073A9"/>
    <w:rsid w:val="00C144E4"/>
    <w:rsid w:val="00C15521"/>
    <w:rsid w:val="00C16B78"/>
    <w:rsid w:val="00C178D0"/>
    <w:rsid w:val="00C17A53"/>
    <w:rsid w:val="00C20264"/>
    <w:rsid w:val="00C20FA1"/>
    <w:rsid w:val="00C2495D"/>
    <w:rsid w:val="00C26D2C"/>
    <w:rsid w:val="00C2768C"/>
    <w:rsid w:val="00C306DB"/>
    <w:rsid w:val="00C30975"/>
    <w:rsid w:val="00C30B23"/>
    <w:rsid w:val="00C3194A"/>
    <w:rsid w:val="00C319DE"/>
    <w:rsid w:val="00C3598B"/>
    <w:rsid w:val="00C36D54"/>
    <w:rsid w:val="00C37549"/>
    <w:rsid w:val="00C37B76"/>
    <w:rsid w:val="00C42A90"/>
    <w:rsid w:val="00C43D55"/>
    <w:rsid w:val="00C44337"/>
    <w:rsid w:val="00C45E61"/>
    <w:rsid w:val="00C529F8"/>
    <w:rsid w:val="00C53014"/>
    <w:rsid w:val="00C54A32"/>
    <w:rsid w:val="00C55E0D"/>
    <w:rsid w:val="00C577EE"/>
    <w:rsid w:val="00C57A66"/>
    <w:rsid w:val="00C600EF"/>
    <w:rsid w:val="00C60F17"/>
    <w:rsid w:val="00C61031"/>
    <w:rsid w:val="00C63E80"/>
    <w:rsid w:val="00C6488C"/>
    <w:rsid w:val="00C64DD2"/>
    <w:rsid w:val="00C656AE"/>
    <w:rsid w:val="00C66342"/>
    <w:rsid w:val="00C67B35"/>
    <w:rsid w:val="00C71744"/>
    <w:rsid w:val="00C730D0"/>
    <w:rsid w:val="00C7385D"/>
    <w:rsid w:val="00C73E37"/>
    <w:rsid w:val="00C74948"/>
    <w:rsid w:val="00C7584F"/>
    <w:rsid w:val="00C769A9"/>
    <w:rsid w:val="00C816BF"/>
    <w:rsid w:val="00C86702"/>
    <w:rsid w:val="00C86C4E"/>
    <w:rsid w:val="00C8778B"/>
    <w:rsid w:val="00C9130C"/>
    <w:rsid w:val="00C91611"/>
    <w:rsid w:val="00C9290A"/>
    <w:rsid w:val="00C931AD"/>
    <w:rsid w:val="00CA1A22"/>
    <w:rsid w:val="00CA1CF5"/>
    <w:rsid w:val="00CA2F92"/>
    <w:rsid w:val="00CA4A34"/>
    <w:rsid w:val="00CA556C"/>
    <w:rsid w:val="00CA63D7"/>
    <w:rsid w:val="00CA7C76"/>
    <w:rsid w:val="00CB1BA0"/>
    <w:rsid w:val="00CB35CB"/>
    <w:rsid w:val="00CB4395"/>
    <w:rsid w:val="00CB527D"/>
    <w:rsid w:val="00CB7F5B"/>
    <w:rsid w:val="00CC097D"/>
    <w:rsid w:val="00CC23E8"/>
    <w:rsid w:val="00CC40C8"/>
    <w:rsid w:val="00CC5C56"/>
    <w:rsid w:val="00CC616D"/>
    <w:rsid w:val="00CD26A6"/>
    <w:rsid w:val="00CD52A4"/>
    <w:rsid w:val="00CD7B9F"/>
    <w:rsid w:val="00CE30FF"/>
    <w:rsid w:val="00CE56EA"/>
    <w:rsid w:val="00CE62D2"/>
    <w:rsid w:val="00CE7A40"/>
    <w:rsid w:val="00CF668F"/>
    <w:rsid w:val="00CF77B6"/>
    <w:rsid w:val="00D00E29"/>
    <w:rsid w:val="00D029C3"/>
    <w:rsid w:val="00D03E85"/>
    <w:rsid w:val="00D06644"/>
    <w:rsid w:val="00D06A6B"/>
    <w:rsid w:val="00D06FA9"/>
    <w:rsid w:val="00D078A0"/>
    <w:rsid w:val="00D11608"/>
    <w:rsid w:val="00D11FC7"/>
    <w:rsid w:val="00D1271D"/>
    <w:rsid w:val="00D15DD5"/>
    <w:rsid w:val="00D1716B"/>
    <w:rsid w:val="00D1792B"/>
    <w:rsid w:val="00D22480"/>
    <w:rsid w:val="00D23FDD"/>
    <w:rsid w:val="00D2426A"/>
    <w:rsid w:val="00D26167"/>
    <w:rsid w:val="00D31555"/>
    <w:rsid w:val="00D3192B"/>
    <w:rsid w:val="00D31B41"/>
    <w:rsid w:val="00D33899"/>
    <w:rsid w:val="00D36BD3"/>
    <w:rsid w:val="00D375DE"/>
    <w:rsid w:val="00D37F27"/>
    <w:rsid w:val="00D4071B"/>
    <w:rsid w:val="00D408B3"/>
    <w:rsid w:val="00D408D4"/>
    <w:rsid w:val="00D4135B"/>
    <w:rsid w:val="00D4453B"/>
    <w:rsid w:val="00D44874"/>
    <w:rsid w:val="00D44D26"/>
    <w:rsid w:val="00D45099"/>
    <w:rsid w:val="00D46048"/>
    <w:rsid w:val="00D46924"/>
    <w:rsid w:val="00D4754A"/>
    <w:rsid w:val="00D51F80"/>
    <w:rsid w:val="00D52C7A"/>
    <w:rsid w:val="00D54C9B"/>
    <w:rsid w:val="00D558DC"/>
    <w:rsid w:val="00D56364"/>
    <w:rsid w:val="00D56D0A"/>
    <w:rsid w:val="00D5769F"/>
    <w:rsid w:val="00D63A16"/>
    <w:rsid w:val="00D65BE2"/>
    <w:rsid w:val="00D66652"/>
    <w:rsid w:val="00D66954"/>
    <w:rsid w:val="00D70EB3"/>
    <w:rsid w:val="00D733B9"/>
    <w:rsid w:val="00D81C41"/>
    <w:rsid w:val="00D82A3D"/>
    <w:rsid w:val="00D83A3E"/>
    <w:rsid w:val="00D877CF"/>
    <w:rsid w:val="00D93B37"/>
    <w:rsid w:val="00D948CE"/>
    <w:rsid w:val="00D95313"/>
    <w:rsid w:val="00DA0F4C"/>
    <w:rsid w:val="00DA1918"/>
    <w:rsid w:val="00DA4374"/>
    <w:rsid w:val="00DA557B"/>
    <w:rsid w:val="00DA6244"/>
    <w:rsid w:val="00DB16B9"/>
    <w:rsid w:val="00DB2D82"/>
    <w:rsid w:val="00DB66BD"/>
    <w:rsid w:val="00DC1491"/>
    <w:rsid w:val="00DC43CC"/>
    <w:rsid w:val="00DC549D"/>
    <w:rsid w:val="00DD1369"/>
    <w:rsid w:val="00DD180C"/>
    <w:rsid w:val="00DD59B7"/>
    <w:rsid w:val="00DD6483"/>
    <w:rsid w:val="00DD7326"/>
    <w:rsid w:val="00DE07B5"/>
    <w:rsid w:val="00DE1C3F"/>
    <w:rsid w:val="00DE4861"/>
    <w:rsid w:val="00DE5CAE"/>
    <w:rsid w:val="00DF12DF"/>
    <w:rsid w:val="00DF35BE"/>
    <w:rsid w:val="00DF39FA"/>
    <w:rsid w:val="00DF4027"/>
    <w:rsid w:val="00DF46E5"/>
    <w:rsid w:val="00DF5215"/>
    <w:rsid w:val="00DF5869"/>
    <w:rsid w:val="00DF60C4"/>
    <w:rsid w:val="00DF6923"/>
    <w:rsid w:val="00E00F68"/>
    <w:rsid w:val="00E017B0"/>
    <w:rsid w:val="00E0397D"/>
    <w:rsid w:val="00E039CA"/>
    <w:rsid w:val="00E04385"/>
    <w:rsid w:val="00E04D5F"/>
    <w:rsid w:val="00E05DB2"/>
    <w:rsid w:val="00E05E5E"/>
    <w:rsid w:val="00E06126"/>
    <w:rsid w:val="00E077EB"/>
    <w:rsid w:val="00E12985"/>
    <w:rsid w:val="00E12E83"/>
    <w:rsid w:val="00E12EA4"/>
    <w:rsid w:val="00E15355"/>
    <w:rsid w:val="00E174E9"/>
    <w:rsid w:val="00E2147A"/>
    <w:rsid w:val="00E21DB8"/>
    <w:rsid w:val="00E222F2"/>
    <w:rsid w:val="00E24891"/>
    <w:rsid w:val="00E2596B"/>
    <w:rsid w:val="00E332C7"/>
    <w:rsid w:val="00E33D68"/>
    <w:rsid w:val="00E35451"/>
    <w:rsid w:val="00E400A9"/>
    <w:rsid w:val="00E4162B"/>
    <w:rsid w:val="00E41B3F"/>
    <w:rsid w:val="00E42D1F"/>
    <w:rsid w:val="00E462A1"/>
    <w:rsid w:val="00E46DB1"/>
    <w:rsid w:val="00E50006"/>
    <w:rsid w:val="00E50616"/>
    <w:rsid w:val="00E51461"/>
    <w:rsid w:val="00E51FE6"/>
    <w:rsid w:val="00E530DC"/>
    <w:rsid w:val="00E55C2D"/>
    <w:rsid w:val="00E57084"/>
    <w:rsid w:val="00E61166"/>
    <w:rsid w:val="00E6480E"/>
    <w:rsid w:val="00E6681A"/>
    <w:rsid w:val="00E7355B"/>
    <w:rsid w:val="00E73B02"/>
    <w:rsid w:val="00E76C36"/>
    <w:rsid w:val="00E82C7C"/>
    <w:rsid w:val="00E83444"/>
    <w:rsid w:val="00E8486F"/>
    <w:rsid w:val="00E84E02"/>
    <w:rsid w:val="00E907CA"/>
    <w:rsid w:val="00E9254C"/>
    <w:rsid w:val="00E93768"/>
    <w:rsid w:val="00E945B6"/>
    <w:rsid w:val="00EA024D"/>
    <w:rsid w:val="00EA51BB"/>
    <w:rsid w:val="00EA70B8"/>
    <w:rsid w:val="00EB1D45"/>
    <w:rsid w:val="00EB2AD5"/>
    <w:rsid w:val="00EB31F0"/>
    <w:rsid w:val="00EB55C4"/>
    <w:rsid w:val="00EB5C6A"/>
    <w:rsid w:val="00EC2EE1"/>
    <w:rsid w:val="00EC4ED6"/>
    <w:rsid w:val="00EC5229"/>
    <w:rsid w:val="00EC6441"/>
    <w:rsid w:val="00EC6859"/>
    <w:rsid w:val="00EE1FF4"/>
    <w:rsid w:val="00EE3779"/>
    <w:rsid w:val="00EE5798"/>
    <w:rsid w:val="00EE623A"/>
    <w:rsid w:val="00EF5573"/>
    <w:rsid w:val="00EF75A9"/>
    <w:rsid w:val="00EF7EC6"/>
    <w:rsid w:val="00F0245E"/>
    <w:rsid w:val="00F0266E"/>
    <w:rsid w:val="00F04594"/>
    <w:rsid w:val="00F04BE9"/>
    <w:rsid w:val="00F10625"/>
    <w:rsid w:val="00F11321"/>
    <w:rsid w:val="00F1182E"/>
    <w:rsid w:val="00F15CA3"/>
    <w:rsid w:val="00F1646E"/>
    <w:rsid w:val="00F178F1"/>
    <w:rsid w:val="00F17B83"/>
    <w:rsid w:val="00F214FC"/>
    <w:rsid w:val="00F21A4D"/>
    <w:rsid w:val="00F25D9F"/>
    <w:rsid w:val="00F266CB"/>
    <w:rsid w:val="00F300FD"/>
    <w:rsid w:val="00F315E6"/>
    <w:rsid w:val="00F322A2"/>
    <w:rsid w:val="00F33052"/>
    <w:rsid w:val="00F3523C"/>
    <w:rsid w:val="00F37058"/>
    <w:rsid w:val="00F4103E"/>
    <w:rsid w:val="00F422D6"/>
    <w:rsid w:val="00F42438"/>
    <w:rsid w:val="00F42DB2"/>
    <w:rsid w:val="00F4402A"/>
    <w:rsid w:val="00F4599C"/>
    <w:rsid w:val="00F45D61"/>
    <w:rsid w:val="00F460BF"/>
    <w:rsid w:val="00F4706D"/>
    <w:rsid w:val="00F513A6"/>
    <w:rsid w:val="00F52A4B"/>
    <w:rsid w:val="00F53922"/>
    <w:rsid w:val="00F579AC"/>
    <w:rsid w:val="00F615A6"/>
    <w:rsid w:val="00F6242E"/>
    <w:rsid w:val="00F6394C"/>
    <w:rsid w:val="00F63B6B"/>
    <w:rsid w:val="00F65836"/>
    <w:rsid w:val="00F6667D"/>
    <w:rsid w:val="00F70E4B"/>
    <w:rsid w:val="00F7283D"/>
    <w:rsid w:val="00F73E0C"/>
    <w:rsid w:val="00F746C6"/>
    <w:rsid w:val="00F7525A"/>
    <w:rsid w:val="00F75956"/>
    <w:rsid w:val="00F75E72"/>
    <w:rsid w:val="00F76789"/>
    <w:rsid w:val="00F77DAD"/>
    <w:rsid w:val="00F83827"/>
    <w:rsid w:val="00F8410E"/>
    <w:rsid w:val="00F91904"/>
    <w:rsid w:val="00F93690"/>
    <w:rsid w:val="00F93F0B"/>
    <w:rsid w:val="00F942F7"/>
    <w:rsid w:val="00F94E5A"/>
    <w:rsid w:val="00F9516C"/>
    <w:rsid w:val="00FA28F7"/>
    <w:rsid w:val="00FA454A"/>
    <w:rsid w:val="00FA5C22"/>
    <w:rsid w:val="00FB15E4"/>
    <w:rsid w:val="00FB6409"/>
    <w:rsid w:val="00FB785C"/>
    <w:rsid w:val="00FC08A5"/>
    <w:rsid w:val="00FC0F79"/>
    <w:rsid w:val="00FC3D4C"/>
    <w:rsid w:val="00FC45DD"/>
    <w:rsid w:val="00FC7AA8"/>
    <w:rsid w:val="00FD0A00"/>
    <w:rsid w:val="00FD0D38"/>
    <w:rsid w:val="00FD2BBD"/>
    <w:rsid w:val="00FD6DC1"/>
    <w:rsid w:val="00FD70DD"/>
    <w:rsid w:val="00FE074B"/>
    <w:rsid w:val="00FE1D16"/>
    <w:rsid w:val="00FE219F"/>
    <w:rsid w:val="00FE42D5"/>
    <w:rsid w:val="00FE7148"/>
    <w:rsid w:val="00FE74A3"/>
    <w:rsid w:val="00FF130F"/>
    <w:rsid w:val="00FF221F"/>
    <w:rsid w:val="00FF225F"/>
    <w:rsid w:val="00FF2D58"/>
    <w:rsid w:val="00FF4F16"/>
    <w:rsid w:val="00FF699C"/>
    <w:rsid w:val="07530B70"/>
    <w:rsid w:val="07D52AFC"/>
    <w:rsid w:val="12AF45B4"/>
    <w:rsid w:val="14570078"/>
    <w:rsid w:val="16C16583"/>
    <w:rsid w:val="1DE71F8A"/>
    <w:rsid w:val="375218CA"/>
    <w:rsid w:val="3A2E2D2C"/>
    <w:rsid w:val="3D52728E"/>
    <w:rsid w:val="412B51D6"/>
    <w:rsid w:val="51035C48"/>
    <w:rsid w:val="59445ADA"/>
    <w:rsid w:val="69C047B2"/>
    <w:rsid w:val="6BB02397"/>
    <w:rsid w:val="7A60112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15:docId w15:val="{4DD56A8F-CD60-493A-A659-563EB70ED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9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99"/>
    <w:lsdException w:name="Table Theme"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670CA"/>
    <w:pPr>
      <w:spacing w:before="120" w:after="240" w:line="300" w:lineRule="auto"/>
      <w:ind w:firstLineChars="150" w:firstLine="150"/>
    </w:pPr>
    <w:rPr>
      <w:rFonts w:cs="黑体"/>
      <w:kern w:val="2"/>
      <w:sz w:val="24"/>
      <w:szCs w:val="21"/>
    </w:rPr>
  </w:style>
  <w:style w:type="paragraph" w:styleId="1">
    <w:name w:val="heading 1"/>
    <w:basedOn w:val="a0"/>
    <w:next w:val="11"/>
    <w:link w:val="1Char"/>
    <w:qFormat/>
    <w:pPr>
      <w:keepNext/>
      <w:numPr>
        <w:numId w:val="1"/>
      </w:numPr>
      <w:spacing w:before="240" w:after="60"/>
      <w:ind w:firstLineChars="0"/>
      <w:jc w:val="center"/>
      <w:outlineLvl w:val="0"/>
    </w:pPr>
    <w:rPr>
      <w:b/>
      <w:kern w:val="32"/>
      <w:sz w:val="32"/>
    </w:rPr>
  </w:style>
  <w:style w:type="paragraph" w:styleId="3">
    <w:name w:val="heading 3"/>
    <w:basedOn w:val="a0"/>
    <w:next w:val="a0"/>
    <w:link w:val="3Char"/>
    <w:unhideWhenUsed/>
    <w:qFormat/>
    <w:pPr>
      <w:keepNext/>
      <w:keepLines/>
      <w:spacing w:before="260" w:after="260" w:line="416" w:lineRule="auto"/>
      <w:outlineLvl w:val="2"/>
    </w:pPr>
    <w:rPr>
      <w:bCs/>
      <w:sz w:val="32"/>
      <w:szCs w:val="32"/>
    </w:rPr>
  </w:style>
  <w:style w:type="paragraph" w:styleId="4">
    <w:name w:val="heading 4"/>
    <w:basedOn w:val="a0"/>
    <w:next w:val="a0"/>
    <w:link w:val="4Char"/>
    <w:qFormat/>
    <w:rsid w:val="005F3E8C"/>
    <w:pPr>
      <w:widowControl w:val="0"/>
      <w:numPr>
        <w:ilvl w:val="3"/>
        <w:numId w:val="34"/>
      </w:numPr>
      <w:adjustRightInd w:val="0"/>
      <w:ind w:firstLineChars="0"/>
      <w:outlineLvl w:val="3"/>
    </w:pPr>
  </w:style>
  <w:style w:type="paragraph" w:styleId="50">
    <w:name w:val="heading 5"/>
    <w:basedOn w:val="a0"/>
    <w:next w:val="a0"/>
    <w:link w:val="5Char"/>
    <w:uiPriority w:val="9"/>
    <w:unhideWhenUsed/>
    <w:qFormat/>
    <w:pPr>
      <w:keepNext/>
      <w:keepLines/>
      <w:adjustRightInd w:val="0"/>
      <w:snapToGrid w:val="0"/>
      <w:spacing w:line="240" w:lineRule="auto"/>
      <w:jc w:val="center"/>
      <w:outlineLvl w:val="4"/>
    </w:pPr>
    <w:rPr>
      <w:rFonts w:eastAsia="微软雅黑"/>
      <w:b/>
      <w:bCs/>
      <w:sz w:val="21"/>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1">
    <w:name w:val="标题1新"/>
    <w:basedOn w:val="1"/>
    <w:next w:val="1"/>
    <w:link w:val="1Char0"/>
    <w:qFormat/>
    <w:pPr>
      <w:keepLines/>
      <w:widowControl w:val="0"/>
      <w:spacing w:before="360" w:after="360" w:line="360" w:lineRule="auto"/>
      <w:textAlignment w:val="baseline"/>
    </w:pPr>
    <w:rPr>
      <w:rFonts w:ascii="宋体" w:hAnsi="宋体" w:cs="Times New Roman"/>
      <w:b w:val="0"/>
      <w:bCs/>
      <w:kern w:val="44"/>
      <w:szCs w:val="32"/>
    </w:rPr>
  </w:style>
  <w:style w:type="paragraph" w:styleId="a4">
    <w:name w:val="annotation subject"/>
    <w:basedOn w:val="a5"/>
    <w:next w:val="a5"/>
    <w:link w:val="Char"/>
    <w:uiPriority w:val="99"/>
    <w:unhideWhenUsed/>
    <w:rPr>
      <w:b/>
      <w:bCs/>
    </w:rPr>
  </w:style>
  <w:style w:type="paragraph" w:styleId="a5">
    <w:name w:val="annotation text"/>
    <w:basedOn w:val="a0"/>
    <w:link w:val="Char0"/>
    <w:unhideWhenUsed/>
  </w:style>
  <w:style w:type="paragraph" w:styleId="7">
    <w:name w:val="toc 7"/>
    <w:basedOn w:val="a0"/>
    <w:next w:val="a0"/>
    <w:uiPriority w:val="39"/>
    <w:unhideWhenUsed/>
    <w:pPr>
      <w:ind w:left="1680"/>
    </w:pPr>
    <w:rPr>
      <w:rFonts w:cs="Calibri"/>
      <w:b/>
      <w:sz w:val="20"/>
      <w:szCs w:val="20"/>
    </w:rPr>
  </w:style>
  <w:style w:type="paragraph" w:styleId="a6">
    <w:name w:val="Normal Indent"/>
    <w:basedOn w:val="a0"/>
    <w:uiPriority w:val="99"/>
    <w:unhideWhenUsed/>
    <w:pPr>
      <w:ind w:firstLine="420"/>
    </w:pPr>
  </w:style>
  <w:style w:type="paragraph" w:styleId="a7">
    <w:name w:val="caption"/>
    <w:basedOn w:val="a0"/>
    <w:next w:val="a0"/>
    <w:uiPriority w:val="35"/>
    <w:unhideWhenUsed/>
    <w:qFormat/>
    <w:pPr>
      <w:spacing w:before="240" w:after="120"/>
      <w:ind w:leftChars="-200" w:left="-200" w:firstLineChars="0" w:firstLine="0"/>
      <w:jc w:val="center"/>
    </w:pPr>
  </w:style>
  <w:style w:type="paragraph" w:styleId="a8">
    <w:name w:val="Document Map"/>
    <w:basedOn w:val="a0"/>
    <w:link w:val="Char1"/>
    <w:uiPriority w:val="99"/>
    <w:unhideWhenUsed/>
    <w:pPr>
      <w:spacing w:line="240" w:lineRule="auto"/>
    </w:pPr>
    <w:rPr>
      <w:rFonts w:ascii="Tahoma" w:hAnsi="Tahoma" w:cs="Tahoma"/>
      <w:sz w:val="16"/>
      <w:szCs w:val="16"/>
    </w:rPr>
  </w:style>
  <w:style w:type="paragraph" w:styleId="51">
    <w:name w:val="toc 5"/>
    <w:basedOn w:val="a0"/>
    <w:next w:val="a0"/>
    <w:uiPriority w:val="39"/>
    <w:unhideWhenUsed/>
    <w:pPr>
      <w:ind w:left="1120"/>
    </w:pPr>
    <w:rPr>
      <w:rFonts w:cs="Calibri"/>
      <w:b/>
      <w:sz w:val="20"/>
      <w:szCs w:val="20"/>
    </w:rPr>
  </w:style>
  <w:style w:type="paragraph" w:styleId="30">
    <w:name w:val="toc 3"/>
    <w:basedOn w:val="a0"/>
    <w:next w:val="a0"/>
    <w:uiPriority w:val="39"/>
    <w:unhideWhenUsed/>
    <w:pPr>
      <w:ind w:left="560"/>
    </w:pPr>
    <w:rPr>
      <w:rFonts w:cs="Calibri"/>
      <w:b/>
      <w:sz w:val="20"/>
      <w:szCs w:val="20"/>
    </w:rPr>
  </w:style>
  <w:style w:type="paragraph" w:styleId="8">
    <w:name w:val="toc 8"/>
    <w:basedOn w:val="a0"/>
    <w:next w:val="a0"/>
    <w:uiPriority w:val="39"/>
    <w:unhideWhenUsed/>
    <w:pPr>
      <w:ind w:left="1960"/>
    </w:pPr>
    <w:rPr>
      <w:rFonts w:cs="Calibri"/>
      <w:b/>
      <w:sz w:val="20"/>
      <w:szCs w:val="20"/>
    </w:rPr>
  </w:style>
  <w:style w:type="paragraph" w:styleId="a9">
    <w:name w:val="Date"/>
    <w:basedOn w:val="a0"/>
    <w:next w:val="a0"/>
    <w:link w:val="Char2"/>
    <w:uiPriority w:val="99"/>
    <w:unhideWhenUsed/>
    <w:pPr>
      <w:ind w:leftChars="2500" w:left="100"/>
    </w:pPr>
  </w:style>
  <w:style w:type="paragraph" w:styleId="aa">
    <w:name w:val="Balloon Text"/>
    <w:basedOn w:val="a0"/>
    <w:link w:val="Char3"/>
    <w:uiPriority w:val="99"/>
    <w:unhideWhenUsed/>
    <w:pPr>
      <w:spacing w:line="240" w:lineRule="auto"/>
    </w:pPr>
    <w:rPr>
      <w:sz w:val="18"/>
      <w:szCs w:val="18"/>
    </w:rPr>
  </w:style>
  <w:style w:type="paragraph" w:styleId="ab">
    <w:name w:val="footer"/>
    <w:basedOn w:val="a0"/>
    <w:link w:val="Char4"/>
    <w:uiPriority w:val="99"/>
    <w:unhideWhenUsed/>
    <w:pPr>
      <w:tabs>
        <w:tab w:val="center" w:pos="4153"/>
        <w:tab w:val="right" w:pos="8306"/>
      </w:tabs>
      <w:snapToGrid w:val="0"/>
      <w:spacing w:line="240" w:lineRule="auto"/>
    </w:pPr>
    <w:rPr>
      <w:sz w:val="18"/>
      <w:szCs w:val="18"/>
    </w:rPr>
  </w:style>
  <w:style w:type="paragraph" w:styleId="ac">
    <w:name w:val="header"/>
    <w:basedOn w:val="a0"/>
    <w:link w:val="Char5"/>
    <w:uiPriority w:val="99"/>
    <w:unhideWhenUsed/>
    <w:pPr>
      <w:pBdr>
        <w:bottom w:val="single" w:sz="6" w:space="1" w:color="auto"/>
      </w:pBdr>
      <w:tabs>
        <w:tab w:val="center" w:pos="4153"/>
        <w:tab w:val="right" w:pos="8306"/>
      </w:tabs>
      <w:snapToGrid w:val="0"/>
      <w:spacing w:line="240" w:lineRule="auto"/>
      <w:jc w:val="center"/>
    </w:pPr>
    <w:rPr>
      <w:sz w:val="18"/>
      <w:szCs w:val="18"/>
    </w:rPr>
  </w:style>
  <w:style w:type="paragraph" w:styleId="12">
    <w:name w:val="toc 1"/>
    <w:basedOn w:val="a0"/>
    <w:next w:val="a0"/>
    <w:uiPriority w:val="39"/>
    <w:unhideWhenUsed/>
    <w:pPr>
      <w:spacing w:before="0" w:after="0"/>
      <w:ind w:firstLineChars="0" w:firstLine="0"/>
    </w:pPr>
    <w:rPr>
      <w:rFonts w:cs="Calibri"/>
      <w:bCs/>
      <w:iCs/>
      <w:szCs w:val="24"/>
    </w:rPr>
  </w:style>
  <w:style w:type="paragraph" w:styleId="40">
    <w:name w:val="toc 4"/>
    <w:basedOn w:val="a0"/>
    <w:next w:val="a0"/>
    <w:uiPriority w:val="39"/>
    <w:unhideWhenUsed/>
    <w:pPr>
      <w:ind w:left="840"/>
    </w:pPr>
    <w:rPr>
      <w:rFonts w:cs="Calibri"/>
      <w:b/>
      <w:sz w:val="20"/>
      <w:szCs w:val="20"/>
    </w:rPr>
  </w:style>
  <w:style w:type="paragraph" w:styleId="6">
    <w:name w:val="toc 6"/>
    <w:basedOn w:val="a0"/>
    <w:next w:val="a0"/>
    <w:uiPriority w:val="39"/>
    <w:unhideWhenUsed/>
    <w:pPr>
      <w:ind w:left="1400"/>
    </w:pPr>
    <w:rPr>
      <w:rFonts w:cs="Calibri"/>
      <w:b/>
      <w:sz w:val="20"/>
      <w:szCs w:val="20"/>
    </w:rPr>
  </w:style>
  <w:style w:type="paragraph" w:styleId="20">
    <w:name w:val="toc 2"/>
    <w:basedOn w:val="a0"/>
    <w:next w:val="a0"/>
    <w:uiPriority w:val="39"/>
    <w:unhideWhenUsed/>
    <w:pPr>
      <w:spacing w:before="0" w:after="0"/>
      <w:ind w:leftChars="50" w:left="50" w:firstLineChars="0" w:firstLine="0"/>
    </w:pPr>
    <w:rPr>
      <w:rFonts w:cs="Calibri"/>
      <w:bCs/>
      <w:szCs w:val="22"/>
    </w:rPr>
  </w:style>
  <w:style w:type="paragraph" w:styleId="9">
    <w:name w:val="toc 9"/>
    <w:basedOn w:val="a0"/>
    <w:next w:val="a0"/>
    <w:uiPriority w:val="39"/>
    <w:unhideWhenUsed/>
    <w:pPr>
      <w:ind w:left="2240"/>
    </w:pPr>
    <w:rPr>
      <w:rFonts w:cs="Calibri"/>
      <w:b/>
      <w:sz w:val="20"/>
      <w:szCs w:val="20"/>
    </w:rPr>
  </w:style>
  <w:style w:type="paragraph" w:styleId="ad">
    <w:name w:val="Normal (Web)"/>
    <w:basedOn w:val="a0"/>
    <w:uiPriority w:val="99"/>
    <w:unhideWhenUsed/>
    <w:pPr>
      <w:spacing w:before="100" w:beforeAutospacing="1" w:after="100" w:afterAutospacing="1" w:line="240" w:lineRule="auto"/>
    </w:pPr>
    <w:rPr>
      <w:rFonts w:cs="宋体"/>
      <w:szCs w:val="24"/>
    </w:rPr>
  </w:style>
  <w:style w:type="character" w:styleId="ae">
    <w:name w:val="Strong"/>
    <w:uiPriority w:val="22"/>
    <w:qFormat/>
    <w:rPr>
      <w:b/>
      <w:bCs/>
    </w:rPr>
  </w:style>
  <w:style w:type="character" w:styleId="af">
    <w:name w:val="Hyperlink"/>
    <w:uiPriority w:val="99"/>
    <w:unhideWhenUsed/>
    <w:rPr>
      <w:color w:val="0000FF"/>
      <w:u w:val="single"/>
    </w:rPr>
  </w:style>
  <w:style w:type="character" w:styleId="af0">
    <w:name w:val="annotation reference"/>
    <w:unhideWhenUsed/>
    <w:rPr>
      <w:sz w:val="21"/>
      <w:szCs w:val="21"/>
    </w:rPr>
  </w:style>
  <w:style w:type="table" w:styleId="af1">
    <w:name w:val="Table Grid"/>
    <w:basedOn w:val="a2"/>
    <w:uiPriority w:val="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
    <w:name w:val="标题 31"/>
    <w:basedOn w:val="a0"/>
    <w:next w:val="a0"/>
    <w:link w:val="Heading3Char"/>
    <w:unhideWhenUsed/>
    <w:qFormat/>
    <w:rsid w:val="009836D6"/>
    <w:pPr>
      <w:widowControl w:val="0"/>
      <w:numPr>
        <w:ilvl w:val="2"/>
        <w:numId w:val="1"/>
      </w:numPr>
      <w:spacing w:before="260" w:after="260"/>
      <w:ind w:firstLineChars="0"/>
      <w:outlineLvl w:val="2"/>
    </w:pPr>
    <w:rPr>
      <w:bCs/>
      <w:szCs w:val="32"/>
    </w:rPr>
  </w:style>
  <w:style w:type="paragraph" w:customStyle="1" w:styleId="21">
    <w:name w:val="标题 21"/>
    <w:basedOn w:val="a0"/>
    <w:next w:val="a0"/>
    <w:link w:val="Heading2Char"/>
    <w:unhideWhenUsed/>
    <w:qFormat/>
    <w:pPr>
      <w:keepNext/>
      <w:keepLines/>
      <w:spacing w:before="260" w:after="260" w:line="415" w:lineRule="auto"/>
      <w:ind w:firstLineChars="0" w:firstLine="0"/>
      <w:jc w:val="center"/>
      <w:outlineLvl w:val="1"/>
    </w:pPr>
    <w:rPr>
      <w:rFonts w:ascii="Cambria" w:hAnsi="Cambria"/>
      <w:b/>
      <w:bCs/>
      <w:szCs w:val="32"/>
    </w:rPr>
  </w:style>
  <w:style w:type="paragraph" w:customStyle="1" w:styleId="GB2312GB23121">
    <w:name w:val="样式 (西文) 仿宋_GB2312 (中文) 仿宋_GB2312 (符号) 宋体 小四 首行缩进:  1 厘米 行距:..."/>
    <w:basedOn w:val="a0"/>
    <w:pPr>
      <w:widowControl w:val="0"/>
      <w:spacing w:line="360" w:lineRule="auto"/>
      <w:jc w:val="both"/>
    </w:pPr>
    <w:rPr>
      <w:rFonts w:ascii="仿宋_GB2312" w:cs="Times New Roman"/>
      <w:b/>
      <w:szCs w:val="20"/>
    </w:rPr>
  </w:style>
  <w:style w:type="paragraph" w:customStyle="1" w:styleId="3TimesNewRoman">
    <w:name w:val="样式 标题 3 + Times New Roman"/>
    <w:basedOn w:val="31"/>
    <w:pPr>
      <w:spacing w:before="0" w:after="0" w:line="288" w:lineRule="auto"/>
    </w:pPr>
    <w:rPr>
      <w:rFonts w:eastAsia="方正姚体"/>
      <w:b/>
      <w:szCs w:val="20"/>
    </w:rPr>
  </w:style>
  <w:style w:type="paragraph" w:customStyle="1" w:styleId="13">
    <w:name w:val="标题1"/>
    <w:basedOn w:val="1"/>
    <w:qFormat/>
    <w:rPr>
      <w:b w:val="0"/>
    </w:rPr>
  </w:style>
  <w:style w:type="paragraph" w:customStyle="1" w:styleId="af2">
    <w:name w:val="图名"/>
    <w:basedOn w:val="a7"/>
    <w:pPr>
      <w:widowControl w:val="0"/>
      <w:spacing w:line="240" w:lineRule="auto"/>
      <w:ind w:leftChars="0" w:left="0"/>
    </w:pPr>
  </w:style>
  <w:style w:type="paragraph" w:customStyle="1" w:styleId="af3">
    <w:name w:val="引用正文"/>
    <w:basedOn w:val="a6"/>
    <w:pPr>
      <w:widowControl w:val="0"/>
      <w:spacing w:before="0" w:after="0"/>
      <w:ind w:firstLine="200"/>
      <w:jc w:val="both"/>
    </w:pPr>
    <w:rPr>
      <w:b/>
      <w:szCs w:val="24"/>
    </w:rPr>
  </w:style>
  <w:style w:type="paragraph" w:customStyle="1" w:styleId="61">
    <w:name w:val="标题 61"/>
    <w:basedOn w:val="a0"/>
    <w:next w:val="a0"/>
    <w:link w:val="Heading6Char"/>
    <w:unhideWhenUsed/>
    <w:qFormat/>
    <w:pPr>
      <w:keepNext/>
      <w:keepLines/>
      <w:spacing w:before="240" w:after="64" w:line="320" w:lineRule="auto"/>
      <w:jc w:val="center"/>
      <w:outlineLvl w:val="5"/>
    </w:pPr>
    <w:rPr>
      <w:rFonts w:ascii="Cambria" w:eastAsia="微软雅黑" w:hAnsi="Cambria"/>
      <w:b/>
      <w:bCs/>
      <w:sz w:val="21"/>
      <w:szCs w:val="24"/>
    </w:rPr>
  </w:style>
  <w:style w:type="paragraph" w:customStyle="1" w:styleId="14">
    <w:name w:val="样式1"/>
    <w:basedOn w:val="31"/>
    <w:qFormat/>
  </w:style>
  <w:style w:type="paragraph" w:customStyle="1" w:styleId="15">
    <w:name w:val="列出段落1"/>
    <w:basedOn w:val="a0"/>
    <w:link w:val="ListParagraphChar"/>
    <w:uiPriority w:val="34"/>
    <w:qFormat/>
    <w:pPr>
      <w:spacing w:after="0"/>
    </w:pPr>
    <w:rPr>
      <w:b/>
    </w:rPr>
  </w:style>
  <w:style w:type="paragraph" w:customStyle="1" w:styleId="22mystyle2style21">
    <w:name w:val="样式 标题 22mystyle2style21题号 + 宋体 五号 加粗 非倾斜"/>
    <w:basedOn w:val="21"/>
    <w:pPr>
      <w:spacing w:before="0" w:after="0" w:line="288" w:lineRule="auto"/>
    </w:pPr>
    <w:rPr>
      <w:rFonts w:ascii="宋体" w:hAnsi="宋体" w:cs="Times New Roman"/>
      <w:szCs w:val="20"/>
    </w:rPr>
  </w:style>
  <w:style w:type="paragraph" w:customStyle="1" w:styleId="3TimesNewRoman0">
    <w:name w:val="样式 样式 标题 3 + Times New Roman + 加粗"/>
    <w:basedOn w:val="3TimesNewRoman"/>
  </w:style>
  <w:style w:type="paragraph" w:customStyle="1" w:styleId="TOC1">
    <w:name w:val="TOC 标题1"/>
    <w:basedOn w:val="1"/>
    <w:next w:val="a0"/>
    <w:uiPriority w:val="39"/>
    <w:unhideWhenUsed/>
    <w:qFormat/>
    <w:pPr>
      <w:keepLines/>
      <w:spacing w:after="0" w:line="259" w:lineRule="auto"/>
      <w:outlineLvl w:val="9"/>
    </w:pPr>
    <w:rPr>
      <w:rFonts w:ascii="Cambria" w:hAnsi="Cambria"/>
      <w:color w:val="365F90"/>
      <w:kern w:val="0"/>
      <w:szCs w:val="32"/>
    </w:rPr>
  </w:style>
  <w:style w:type="paragraph" w:customStyle="1" w:styleId="22">
    <w:name w:val="列出段落2"/>
    <w:basedOn w:val="a0"/>
    <w:uiPriority w:val="34"/>
    <w:qFormat/>
    <w:pPr>
      <w:ind w:firstLine="420"/>
    </w:pPr>
  </w:style>
  <w:style w:type="paragraph" w:customStyle="1" w:styleId="af4">
    <w:name w:val="新正文"/>
    <w:basedOn w:val="4"/>
    <w:qFormat/>
    <w:pPr>
      <w:spacing w:before="50" w:after="50"/>
      <w:ind w:left="142" w:firstLine="480"/>
      <w:jc w:val="both"/>
    </w:pPr>
    <w:rPr>
      <w:rFonts w:ascii="宋体" w:hAnsi="宋体" w:cs="Times New Roman"/>
      <w:b/>
      <w:bCs/>
    </w:rPr>
  </w:style>
  <w:style w:type="paragraph" w:customStyle="1" w:styleId="2">
    <w:name w:val="标题2新"/>
    <w:basedOn w:val="21"/>
    <w:link w:val="2Char"/>
    <w:qFormat/>
    <w:pPr>
      <w:widowControl w:val="0"/>
      <w:numPr>
        <w:ilvl w:val="1"/>
        <w:numId w:val="1"/>
      </w:numPr>
      <w:adjustRightInd w:val="0"/>
      <w:spacing w:before="160" w:after="160" w:line="360" w:lineRule="auto"/>
      <w:textAlignment w:val="baseline"/>
    </w:pPr>
    <w:rPr>
      <w:rFonts w:ascii="Times New Roman" w:hAnsi="Times New Roman" w:cs="Times New Roman"/>
      <w:kern w:val="0"/>
      <w:szCs w:val="28"/>
    </w:rPr>
  </w:style>
  <w:style w:type="paragraph" w:customStyle="1" w:styleId="32">
    <w:name w:val="标题3新"/>
    <w:basedOn w:val="31"/>
    <w:link w:val="3Char0"/>
    <w:qFormat/>
    <w:pPr>
      <w:snapToGrid w:val="0"/>
      <w:spacing w:before="120" w:after="240"/>
      <w:ind w:leftChars="100" w:left="240" w:rightChars="100" w:right="240" w:firstLine="361"/>
      <w:jc w:val="both"/>
      <w:textAlignment w:val="baseline"/>
    </w:pPr>
    <w:rPr>
      <w:rFonts w:cs="Times New Roman"/>
      <w:b/>
      <w:bCs w:val="0"/>
      <w:kern w:val="0"/>
      <w:szCs w:val="20"/>
    </w:rPr>
  </w:style>
  <w:style w:type="paragraph" w:customStyle="1" w:styleId="CL2">
    <w:name w:val="CL标题2"/>
    <w:basedOn w:val="a0"/>
    <w:qFormat/>
    <w:pPr>
      <w:widowControl w:val="0"/>
      <w:numPr>
        <w:ilvl w:val="1"/>
        <w:numId w:val="2"/>
      </w:numPr>
      <w:spacing w:beforeLines="50" w:afterLines="50" w:line="360" w:lineRule="auto"/>
      <w:jc w:val="both"/>
      <w:outlineLvl w:val="1"/>
    </w:pPr>
    <w:rPr>
      <w:rFonts w:ascii="Arial" w:eastAsia="黑体" w:hAnsi="Arial" w:cs="宋体"/>
      <w:bCs/>
      <w:sz w:val="30"/>
      <w:szCs w:val="20"/>
    </w:rPr>
  </w:style>
  <w:style w:type="paragraph" w:customStyle="1" w:styleId="CL3">
    <w:name w:val="CL标题3"/>
    <w:basedOn w:val="a0"/>
    <w:qFormat/>
    <w:pPr>
      <w:widowControl w:val="0"/>
      <w:numPr>
        <w:ilvl w:val="2"/>
        <w:numId w:val="2"/>
      </w:numPr>
      <w:tabs>
        <w:tab w:val="left" w:pos="0"/>
        <w:tab w:val="left" w:pos="2842"/>
      </w:tabs>
      <w:spacing w:line="240" w:lineRule="auto"/>
      <w:outlineLvl w:val="2"/>
    </w:pPr>
    <w:rPr>
      <w:rFonts w:ascii="黑体" w:eastAsia="黑体" w:cs="Times New Roman"/>
      <w:b/>
      <w:kern w:val="0"/>
      <w:szCs w:val="20"/>
    </w:rPr>
  </w:style>
  <w:style w:type="paragraph" w:customStyle="1" w:styleId="CL5">
    <w:name w:val="CL标题5"/>
    <w:basedOn w:val="a0"/>
    <w:qFormat/>
    <w:pPr>
      <w:widowControl w:val="0"/>
      <w:numPr>
        <w:ilvl w:val="4"/>
        <w:numId w:val="2"/>
      </w:numPr>
      <w:spacing w:beforeLines="50" w:line="240" w:lineRule="auto"/>
      <w:ind w:left="993"/>
    </w:pPr>
    <w:rPr>
      <w:rFonts w:cs="Times New Roman"/>
      <w:b/>
      <w:szCs w:val="22"/>
    </w:rPr>
  </w:style>
  <w:style w:type="paragraph" w:customStyle="1" w:styleId="CL6">
    <w:name w:val="CL标题6"/>
    <w:basedOn w:val="a0"/>
    <w:pPr>
      <w:widowControl w:val="0"/>
      <w:numPr>
        <w:ilvl w:val="5"/>
        <w:numId w:val="2"/>
      </w:numPr>
      <w:spacing w:line="360" w:lineRule="auto"/>
    </w:pPr>
    <w:rPr>
      <w:rFonts w:cs="Times New Roman"/>
      <w:b/>
      <w:szCs w:val="22"/>
    </w:rPr>
  </w:style>
  <w:style w:type="paragraph" w:customStyle="1" w:styleId="cl1051">
    <w:name w:val="cl标题1 + 段前: 0.5 行 段后: 1 行"/>
    <w:basedOn w:val="a0"/>
    <w:qFormat/>
    <w:pPr>
      <w:keepNext/>
      <w:keepLines/>
      <w:widowControl w:val="0"/>
      <w:numPr>
        <w:numId w:val="2"/>
      </w:numPr>
      <w:tabs>
        <w:tab w:val="left" w:pos="0"/>
      </w:tabs>
      <w:spacing w:beforeLines="50" w:afterLines="100" w:line="460" w:lineRule="exact"/>
      <w:outlineLvl w:val="0"/>
    </w:pPr>
    <w:rPr>
      <w:rFonts w:ascii="黑体" w:eastAsia="黑体" w:cs="宋体"/>
      <w:b/>
      <w:kern w:val="44"/>
      <w:sz w:val="36"/>
      <w:szCs w:val="20"/>
    </w:rPr>
  </w:style>
  <w:style w:type="paragraph" w:customStyle="1" w:styleId="16">
    <w:name w:val="修订1"/>
    <w:hidden/>
    <w:uiPriority w:val="99"/>
    <w:semiHidden/>
    <w:rPr>
      <w:rFonts w:ascii="Calibri" w:eastAsia="仿宋_GB2312" w:hAnsi="Calibri" w:cs="黑体"/>
      <w:b/>
      <w:kern w:val="2"/>
      <w:sz w:val="28"/>
      <w:szCs w:val="21"/>
    </w:rPr>
  </w:style>
  <w:style w:type="paragraph" w:customStyle="1" w:styleId="311">
    <w:name w:val="标题3新11"/>
    <w:basedOn w:val="31"/>
    <w:next w:val="32"/>
    <w:qFormat/>
    <w:pPr>
      <w:adjustRightInd w:val="0"/>
      <w:snapToGrid w:val="0"/>
      <w:spacing w:before="240" w:after="240"/>
      <w:textAlignment w:val="baseline"/>
    </w:pPr>
    <w:rPr>
      <w:rFonts w:cs="Times New Roman"/>
      <w:bCs w:val="0"/>
      <w:kern w:val="0"/>
      <w:szCs w:val="20"/>
    </w:rPr>
  </w:style>
  <w:style w:type="paragraph" w:customStyle="1" w:styleId="af5">
    <w:name w:val="题注 图名"/>
    <w:basedOn w:val="a7"/>
    <w:qFormat/>
    <w:pPr>
      <w:spacing w:before="0" w:after="240"/>
      <w:ind w:firstLine="482"/>
    </w:pPr>
  </w:style>
  <w:style w:type="paragraph" w:customStyle="1" w:styleId="310">
    <w:name w:val="标题3新1"/>
    <w:basedOn w:val="31"/>
    <w:next w:val="311"/>
    <w:pPr>
      <w:adjustRightInd w:val="0"/>
      <w:snapToGrid w:val="0"/>
      <w:spacing w:before="240" w:after="240"/>
      <w:ind w:leftChars="51" w:left="686" w:hangingChars="235" w:hanging="564"/>
      <w:jc w:val="both"/>
      <w:textAlignment w:val="baseline"/>
    </w:pPr>
    <w:rPr>
      <w:rFonts w:ascii="宋体" w:hAnsi="宋体" w:cs="Times New Roman"/>
      <w:bCs w:val="0"/>
      <w:kern w:val="0"/>
      <w:szCs w:val="20"/>
    </w:rPr>
  </w:style>
  <w:style w:type="paragraph" w:customStyle="1" w:styleId="5">
    <w:name w:val="标题5新"/>
    <w:basedOn w:val="a0"/>
    <w:rsid w:val="00341524"/>
    <w:pPr>
      <w:widowControl w:val="0"/>
      <w:numPr>
        <w:ilvl w:val="4"/>
        <w:numId w:val="15"/>
      </w:numPr>
      <w:adjustRightInd w:val="0"/>
      <w:spacing w:after="120"/>
      <w:ind w:firstLineChars="0"/>
    </w:pPr>
  </w:style>
  <w:style w:type="paragraph" w:customStyle="1" w:styleId="a">
    <w:name w:val="图序号"/>
    <w:basedOn w:val="a0"/>
    <w:pPr>
      <w:numPr>
        <w:ilvl w:val="5"/>
        <w:numId w:val="1"/>
      </w:numPr>
      <w:ind w:firstLineChars="0" w:firstLine="0"/>
      <w:jc w:val="center"/>
    </w:pPr>
  </w:style>
  <w:style w:type="paragraph" w:customStyle="1" w:styleId="10">
    <w:name w:val="表序号1"/>
    <w:basedOn w:val="a0"/>
    <w:pPr>
      <w:numPr>
        <w:ilvl w:val="4"/>
        <w:numId w:val="1"/>
      </w:numPr>
      <w:ind w:firstLineChars="0" w:firstLine="0"/>
      <w:jc w:val="center"/>
    </w:pPr>
  </w:style>
  <w:style w:type="character" w:customStyle="1" w:styleId="Char1">
    <w:name w:val="文档结构图 Char"/>
    <w:link w:val="a8"/>
    <w:uiPriority w:val="99"/>
    <w:rPr>
      <w:rFonts w:ascii="Tahoma" w:eastAsia="仿宋_GB2312" w:hAnsi="Tahoma" w:cs="Tahoma"/>
      <w:b/>
      <w:sz w:val="16"/>
      <w:szCs w:val="16"/>
    </w:rPr>
  </w:style>
  <w:style w:type="character" w:customStyle="1" w:styleId="Char2">
    <w:name w:val="日期 Char"/>
    <w:link w:val="a9"/>
    <w:uiPriority w:val="99"/>
    <w:rPr>
      <w:rFonts w:ascii="Times New Roman" w:eastAsia="宋体" w:hAnsi="Times New Roman" w:cs="Times New Roman"/>
      <w:kern w:val="0"/>
      <w:sz w:val="24"/>
      <w:szCs w:val="20"/>
      <w:lang w:eastAsia="en-US"/>
    </w:rPr>
  </w:style>
  <w:style w:type="character" w:customStyle="1" w:styleId="Heading3Char">
    <w:name w:val="Heading 3 Char"/>
    <w:aliases w:val="style3 Char"/>
    <w:link w:val="31"/>
    <w:rsid w:val="009836D6"/>
    <w:rPr>
      <w:rFonts w:cs="黑体"/>
      <w:bCs/>
      <w:kern w:val="2"/>
      <w:sz w:val="24"/>
      <w:szCs w:val="32"/>
    </w:rPr>
  </w:style>
  <w:style w:type="character" w:customStyle="1" w:styleId="5Char">
    <w:name w:val="标题 5 Char"/>
    <w:link w:val="50"/>
    <w:uiPriority w:val="9"/>
    <w:rPr>
      <w:rFonts w:eastAsia="微软雅黑"/>
      <w:bCs/>
      <w:szCs w:val="28"/>
    </w:rPr>
  </w:style>
  <w:style w:type="character" w:customStyle="1" w:styleId="Char3">
    <w:name w:val="批注框文本 Char"/>
    <w:link w:val="aa"/>
    <w:uiPriority w:val="99"/>
    <w:rPr>
      <w:rFonts w:ascii="Times New Roman" w:eastAsia="宋体" w:hAnsi="Times New Roman" w:cs="Times New Roman"/>
      <w:kern w:val="0"/>
      <w:sz w:val="18"/>
      <w:szCs w:val="18"/>
      <w:lang w:eastAsia="en-US"/>
    </w:rPr>
  </w:style>
  <w:style w:type="character" w:customStyle="1" w:styleId="Char4">
    <w:name w:val="页脚 Char"/>
    <w:link w:val="ab"/>
    <w:uiPriority w:val="99"/>
    <w:rPr>
      <w:rFonts w:ascii="Times New Roman" w:eastAsia="宋体" w:hAnsi="Times New Roman" w:cs="Times New Roman"/>
      <w:kern w:val="0"/>
      <w:sz w:val="18"/>
      <w:szCs w:val="18"/>
      <w:lang w:eastAsia="en-US"/>
    </w:rPr>
  </w:style>
  <w:style w:type="character" w:customStyle="1" w:styleId="ListParagraphChar">
    <w:name w:val="List Paragraph Char"/>
    <w:aliases w:val="Table Char"/>
    <w:link w:val="15"/>
    <w:uiPriority w:val="34"/>
    <w:locked/>
    <w:rPr>
      <w:rFonts w:cs="黑体"/>
      <w:b/>
      <w:kern w:val="2"/>
      <w:sz w:val="24"/>
      <w:szCs w:val="21"/>
    </w:rPr>
  </w:style>
  <w:style w:type="character" w:customStyle="1" w:styleId="Heading6Char">
    <w:name w:val="Heading 6 Char"/>
    <w:aliases w:val="图标题 正文 Char"/>
    <w:link w:val="61"/>
    <w:rPr>
      <w:rFonts w:ascii="Cambria" w:eastAsia="微软雅黑" w:hAnsi="Cambria" w:cs="黑体"/>
      <w:bCs/>
      <w:szCs w:val="24"/>
    </w:rPr>
  </w:style>
  <w:style w:type="character" w:customStyle="1" w:styleId="Char0">
    <w:name w:val="批注文字 Char"/>
    <w:link w:val="a5"/>
    <w:rPr>
      <w:rFonts w:ascii="Times New Roman" w:eastAsia="宋体" w:hAnsi="Times New Roman" w:cs="Times New Roman"/>
      <w:kern w:val="0"/>
      <w:sz w:val="24"/>
      <w:szCs w:val="20"/>
      <w:lang w:eastAsia="en-US"/>
    </w:rPr>
  </w:style>
  <w:style w:type="character" w:customStyle="1" w:styleId="Char5">
    <w:name w:val="页眉 Char"/>
    <w:link w:val="ac"/>
    <w:uiPriority w:val="99"/>
    <w:rPr>
      <w:rFonts w:ascii="Times New Roman" w:eastAsia="宋体" w:hAnsi="Times New Roman" w:cs="Times New Roman"/>
      <w:kern w:val="0"/>
      <w:sz w:val="18"/>
      <w:szCs w:val="18"/>
      <w:lang w:eastAsia="en-US"/>
    </w:rPr>
  </w:style>
  <w:style w:type="character" w:customStyle="1" w:styleId="Heading2Char">
    <w:name w:val="Heading 2 Char"/>
    <w:aliases w:val="1题号 Char"/>
    <w:link w:val="21"/>
    <w:rPr>
      <w:rFonts w:ascii="Cambria" w:hAnsi="Cambria" w:cs="黑体"/>
      <w:b/>
      <w:bCs/>
      <w:kern w:val="2"/>
      <w:sz w:val="24"/>
      <w:szCs w:val="32"/>
    </w:rPr>
  </w:style>
  <w:style w:type="character" w:customStyle="1" w:styleId="4Char">
    <w:name w:val="标题 4 Char"/>
    <w:link w:val="4"/>
    <w:rsid w:val="005F3E8C"/>
    <w:rPr>
      <w:rFonts w:cs="黑体"/>
      <w:kern w:val="2"/>
      <w:sz w:val="24"/>
      <w:szCs w:val="21"/>
    </w:rPr>
  </w:style>
  <w:style w:type="character" w:customStyle="1" w:styleId="Char">
    <w:name w:val="批注主题 Char"/>
    <w:link w:val="a4"/>
    <w:uiPriority w:val="99"/>
    <w:rPr>
      <w:rFonts w:ascii="Times New Roman" w:eastAsia="宋体" w:hAnsi="Times New Roman" w:cs="Times New Roman"/>
      <w:b/>
      <w:bCs/>
      <w:kern w:val="0"/>
      <w:sz w:val="24"/>
      <w:szCs w:val="20"/>
      <w:lang w:eastAsia="en-US"/>
    </w:rPr>
  </w:style>
  <w:style w:type="character" w:customStyle="1" w:styleId="1Char">
    <w:name w:val="标题 1 Char"/>
    <w:link w:val="1"/>
    <w:rPr>
      <w:rFonts w:cs="黑体"/>
      <w:b/>
      <w:kern w:val="32"/>
      <w:sz w:val="32"/>
      <w:szCs w:val="21"/>
    </w:rPr>
  </w:style>
  <w:style w:type="character" w:customStyle="1" w:styleId="3Char">
    <w:name w:val="标题 3 Char"/>
    <w:basedOn w:val="a1"/>
    <w:link w:val="3"/>
    <w:semiHidden/>
    <w:rPr>
      <w:rFonts w:ascii="Calibri" w:eastAsia="仿宋_GB2312" w:hAnsi="Calibri" w:cs="黑体"/>
      <w:b/>
      <w:bCs/>
      <w:kern w:val="2"/>
      <w:sz w:val="32"/>
      <w:szCs w:val="32"/>
    </w:rPr>
  </w:style>
  <w:style w:type="character" w:customStyle="1" w:styleId="2Char">
    <w:name w:val="标题2新 Char"/>
    <w:basedOn w:val="Heading2Char"/>
    <w:link w:val="2"/>
    <w:rPr>
      <w:rFonts w:ascii="Cambria" w:hAnsi="Cambria" w:cs="黑体"/>
      <w:b/>
      <w:bCs/>
      <w:kern w:val="2"/>
      <w:sz w:val="24"/>
      <w:szCs w:val="28"/>
    </w:rPr>
  </w:style>
  <w:style w:type="character" w:customStyle="1" w:styleId="3Char0">
    <w:name w:val="标题3新 Char"/>
    <w:basedOn w:val="Heading3Char"/>
    <w:link w:val="32"/>
    <w:rPr>
      <w:rFonts w:cs="黑体"/>
      <w:b/>
      <w:bCs w:val="0"/>
      <w:kern w:val="2"/>
      <w:sz w:val="24"/>
      <w:szCs w:val="32"/>
    </w:rPr>
  </w:style>
  <w:style w:type="character" w:customStyle="1" w:styleId="1Char0">
    <w:name w:val="标题1新 Char"/>
    <w:basedOn w:val="1Char"/>
    <w:link w:val="11"/>
    <w:rPr>
      <w:rFonts w:ascii="宋体" w:hAnsi="宋体" w:cs="黑体"/>
      <w:b w:val="0"/>
      <w:bCs/>
      <w:kern w:val="44"/>
      <w:sz w:val="32"/>
      <w:szCs w:val="32"/>
    </w:rPr>
  </w:style>
  <w:style w:type="character" w:customStyle="1" w:styleId="17">
    <w:name w:val="占位符文本1"/>
    <w:basedOn w:val="a1"/>
    <w:uiPriority w:val="99"/>
    <w:semiHidden/>
    <w:rPr>
      <w:color w:val="808080"/>
    </w:rPr>
  </w:style>
  <w:style w:type="paragraph" w:customStyle="1" w:styleId="33">
    <w:name w:val="列出段落3"/>
    <w:basedOn w:val="a0"/>
    <w:uiPriority w:val="34"/>
    <w:qFormat/>
    <w:pPr>
      <w:ind w:firstLineChars="200" w:firstLine="420"/>
    </w:pPr>
    <w:rPr>
      <w:rFonts w:cs="Times New Roman"/>
      <w:szCs w:val="20"/>
    </w:rPr>
  </w:style>
  <w:style w:type="paragraph" w:styleId="af6">
    <w:name w:val="Revision"/>
    <w:hidden/>
    <w:uiPriority w:val="99"/>
    <w:semiHidden/>
    <w:rsid w:val="0037696D"/>
    <w:rPr>
      <w:rFonts w:cs="黑体"/>
      <w:kern w:val="2"/>
      <w:sz w:val="24"/>
      <w:szCs w:val="21"/>
    </w:rPr>
  </w:style>
  <w:style w:type="character" w:styleId="af7">
    <w:name w:val="Placeholder Text"/>
    <w:basedOn w:val="a1"/>
    <w:uiPriority w:val="99"/>
    <w:unhideWhenUsed/>
    <w:rsid w:val="001E5D7A"/>
    <w:rPr>
      <w:color w:val="808080"/>
    </w:rPr>
  </w:style>
  <w:style w:type="paragraph" w:styleId="af8">
    <w:name w:val="List Paragraph"/>
    <w:basedOn w:val="a0"/>
    <w:uiPriority w:val="99"/>
    <w:rsid w:val="00467D07"/>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480379">
      <w:bodyDiv w:val="1"/>
      <w:marLeft w:val="0"/>
      <w:marRight w:val="0"/>
      <w:marTop w:val="0"/>
      <w:marBottom w:val="0"/>
      <w:divBdr>
        <w:top w:val="none" w:sz="0" w:space="0" w:color="auto"/>
        <w:left w:val="none" w:sz="0" w:space="0" w:color="auto"/>
        <w:bottom w:val="none" w:sz="0" w:space="0" w:color="auto"/>
        <w:right w:val="none" w:sz="0" w:space="0" w:color="auto"/>
      </w:divBdr>
    </w:div>
    <w:div w:id="571306571">
      <w:bodyDiv w:val="1"/>
      <w:marLeft w:val="0"/>
      <w:marRight w:val="0"/>
      <w:marTop w:val="0"/>
      <w:marBottom w:val="0"/>
      <w:divBdr>
        <w:top w:val="none" w:sz="0" w:space="0" w:color="auto"/>
        <w:left w:val="none" w:sz="0" w:space="0" w:color="auto"/>
        <w:bottom w:val="none" w:sz="0" w:space="0" w:color="auto"/>
        <w:right w:val="none" w:sz="0" w:space="0" w:color="auto"/>
      </w:divBdr>
      <w:divsChild>
        <w:div w:id="572200202">
          <w:marLeft w:val="0"/>
          <w:marRight w:val="0"/>
          <w:marTop w:val="0"/>
          <w:marBottom w:val="0"/>
          <w:divBdr>
            <w:top w:val="none" w:sz="0" w:space="0" w:color="auto"/>
            <w:left w:val="none" w:sz="0" w:space="0" w:color="auto"/>
            <w:bottom w:val="none" w:sz="0" w:space="0" w:color="auto"/>
            <w:right w:val="none" w:sz="0" w:space="0" w:color="auto"/>
          </w:divBdr>
        </w:div>
      </w:divsChild>
    </w:div>
    <w:div w:id="978607714">
      <w:bodyDiv w:val="1"/>
      <w:marLeft w:val="0"/>
      <w:marRight w:val="0"/>
      <w:marTop w:val="0"/>
      <w:marBottom w:val="0"/>
      <w:divBdr>
        <w:top w:val="none" w:sz="0" w:space="0" w:color="auto"/>
        <w:left w:val="none" w:sz="0" w:space="0" w:color="auto"/>
        <w:bottom w:val="none" w:sz="0" w:space="0" w:color="auto"/>
        <w:right w:val="none" w:sz="0" w:space="0" w:color="auto"/>
      </w:divBdr>
    </w:div>
    <w:div w:id="1660574725">
      <w:bodyDiv w:val="1"/>
      <w:marLeft w:val="0"/>
      <w:marRight w:val="0"/>
      <w:marTop w:val="0"/>
      <w:marBottom w:val="0"/>
      <w:divBdr>
        <w:top w:val="none" w:sz="0" w:space="0" w:color="auto"/>
        <w:left w:val="none" w:sz="0" w:space="0" w:color="auto"/>
        <w:bottom w:val="none" w:sz="0" w:space="0" w:color="auto"/>
        <w:right w:val="none" w:sz="0" w:space="0" w:color="auto"/>
      </w:divBdr>
      <w:divsChild>
        <w:div w:id="912810434">
          <w:marLeft w:val="0"/>
          <w:marRight w:val="0"/>
          <w:marTop w:val="0"/>
          <w:marBottom w:val="0"/>
          <w:divBdr>
            <w:top w:val="none" w:sz="0" w:space="0" w:color="auto"/>
            <w:left w:val="none" w:sz="0" w:space="0" w:color="auto"/>
            <w:bottom w:val="none" w:sz="0" w:space="0" w:color="auto"/>
            <w:right w:val="none" w:sz="0" w:space="0" w:color="auto"/>
          </w:divBdr>
        </w:div>
      </w:divsChild>
    </w:div>
    <w:div w:id="1843544030">
      <w:bodyDiv w:val="1"/>
      <w:marLeft w:val="0"/>
      <w:marRight w:val="0"/>
      <w:marTop w:val="0"/>
      <w:marBottom w:val="0"/>
      <w:divBdr>
        <w:top w:val="none" w:sz="0" w:space="0" w:color="auto"/>
        <w:left w:val="none" w:sz="0" w:space="0" w:color="auto"/>
        <w:bottom w:val="none" w:sz="0" w:space="0" w:color="auto"/>
        <w:right w:val="none" w:sz="0" w:space="0" w:color="auto"/>
      </w:divBdr>
      <w:divsChild>
        <w:div w:id="31360334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eg"/><Relationship Id="rId68" Type="http://schemas.openxmlformats.org/officeDocument/2006/relationships/image" Target="media/image52.jpeg"/><Relationship Id="rId2" Type="http://schemas.openxmlformats.org/officeDocument/2006/relationships/customXml" Target="../customXml/item1.xml"/><Relationship Id="rId16" Type="http://schemas.openxmlformats.org/officeDocument/2006/relationships/footer" Target="footer4.xml"/><Relationship Id="rId29" Type="http://schemas.openxmlformats.org/officeDocument/2006/relationships/image" Target="media/image13.jpeg"/><Relationship Id="rId11" Type="http://schemas.openxmlformats.org/officeDocument/2006/relationships/header" Target="header2.xm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45.emf"/><Relationship Id="rId19" Type="http://schemas.openxmlformats.org/officeDocument/2006/relationships/image" Target="media/image3.jpeg"/><Relationship Id="rId14" Type="http://schemas.openxmlformats.org/officeDocument/2006/relationships/header" Target="head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jpeg"/><Relationship Id="rId8" Type="http://schemas.openxmlformats.org/officeDocument/2006/relationships/footnotes" Target="footnotes.xml"/><Relationship Id="rId51" Type="http://schemas.openxmlformats.org/officeDocument/2006/relationships/image" Target="media/image35.png"/><Relationship Id="rId72" Type="http://schemas.openxmlformats.org/officeDocument/2006/relationships/footer" Target="footer5.xml"/><Relationship Id="rId3" Type="http://schemas.openxmlformats.org/officeDocument/2006/relationships/customXml" Target="../customXml/item2.xml"/><Relationship Id="rId12" Type="http://schemas.openxmlformats.org/officeDocument/2006/relationships/footer" Target="footer1.xml"/><Relationship Id="rId17" Type="http://schemas.openxmlformats.org/officeDocument/2006/relationships/image" Target="media/image1.png"/><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footer" Target="footer6.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2.jpeg"/><Relationship Id="rId39" Type="http://schemas.openxmlformats.org/officeDocument/2006/relationships/image" Target="media/image23.jpe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webSettings" Target="webSettings.xml"/><Relationship Id="rId71" Type="http://schemas.openxmlformats.org/officeDocument/2006/relationships/image" Target="media/image5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AFB6775-0A44-4D6D-8E5C-7AAD71B26A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1</Pages>
  <Words>4452</Words>
  <Characters>25377</Characters>
  <Application>Microsoft Office Word</Application>
  <DocSecurity>0</DocSecurity>
  <Lines>211</Lines>
  <Paragraphs>59</Paragraphs>
  <ScaleCrop>false</ScaleCrop>
  <Company>Microsoft</Company>
  <LinksUpToDate>false</LinksUpToDate>
  <CharactersWithSpaces>29770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城市轨道交通沿线地区规划设计导则</dc:title>
  <dc:creator>admin</dc:creator>
  <cp:lastModifiedBy>hhm</cp:lastModifiedBy>
  <cp:revision>5</cp:revision>
  <cp:lastPrinted>2015-11-23T03:01:00Z</cp:lastPrinted>
  <dcterms:created xsi:type="dcterms:W3CDTF">2015-11-23T02:41:00Z</dcterms:created>
  <dcterms:modified xsi:type="dcterms:W3CDTF">2015-11-23T05:45:00Z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2052-9.1.0.4953</vt:lpwstr>
  </property>
</Properties>
</file>